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F511" w14:textId="677B1610" w:rsidR="00A93EA9" w:rsidRPr="005E3661" w:rsidRDefault="00A93EA9" w:rsidP="00DE463C"/>
    <w:p w14:paraId="780A5507" w14:textId="3F6CD8FE" w:rsidR="00286BEB" w:rsidRPr="005E3661" w:rsidRDefault="00286BEB" w:rsidP="00DE463C"/>
    <w:p w14:paraId="4DCD4E08" w14:textId="583766DD" w:rsidR="00286BEB" w:rsidRPr="005E3661" w:rsidRDefault="00286BEB" w:rsidP="00DE463C"/>
    <w:p w14:paraId="607223F2" w14:textId="15D9D7D4" w:rsidR="00286BEB" w:rsidRPr="005E3661" w:rsidRDefault="00286BEB" w:rsidP="00DE463C"/>
    <w:p w14:paraId="61399C7B" w14:textId="7A350AEC" w:rsidR="00286BEB" w:rsidRPr="005E3661" w:rsidRDefault="00286BEB" w:rsidP="00DE463C"/>
    <w:p w14:paraId="5FF103AE" w14:textId="3C272578" w:rsidR="00286BEB" w:rsidRPr="005E3661" w:rsidRDefault="00286BEB" w:rsidP="00DE463C"/>
    <w:p w14:paraId="44D53EB7" w14:textId="43D3CF51" w:rsidR="00286BEB" w:rsidRPr="005E3661" w:rsidRDefault="00286BEB" w:rsidP="00DE463C"/>
    <w:p w14:paraId="2FC5324A" w14:textId="20B3D771" w:rsidR="00286BEB" w:rsidRDefault="00286BEB" w:rsidP="00DE463C"/>
    <w:p w14:paraId="2E5CBD01" w14:textId="36CB969F" w:rsidR="00DE463C" w:rsidRDefault="00DE463C" w:rsidP="00DE463C"/>
    <w:p w14:paraId="3B5E21A3" w14:textId="77777777" w:rsidR="00DE463C" w:rsidRPr="005E3661" w:rsidRDefault="00DE463C" w:rsidP="00DE463C"/>
    <w:p w14:paraId="6472D14F" w14:textId="23D4C268" w:rsidR="00286BEB" w:rsidRPr="005E3661" w:rsidRDefault="00286BEB" w:rsidP="00DE463C"/>
    <w:p w14:paraId="3432C92D" w14:textId="1B5CA26F" w:rsidR="00286BEB" w:rsidRPr="005E3661" w:rsidRDefault="00286BEB" w:rsidP="00DE463C"/>
    <w:p w14:paraId="6A4D45A9" w14:textId="77777777" w:rsidR="00286BEB" w:rsidRPr="005E3661" w:rsidRDefault="00286BEB" w:rsidP="00DE463C">
      <w:pPr>
        <w:pStyle w:val="Title"/>
        <w:rPr>
          <w:color w:val="000000"/>
        </w:rPr>
      </w:pPr>
      <w:r w:rsidRPr="00DE463C">
        <w:drawing>
          <wp:inline distT="0" distB="0" distL="0" distR="0" wp14:anchorId="6F37BBBB" wp14:editId="5934DF31">
            <wp:extent cx="4733171" cy="913765"/>
            <wp:effectExtent l="0" t="0" r="0" b="635"/>
            <wp:docPr id="5" name="Picture 5" descr="C:\Users\D. Prins\AppData\Local\Microsoft\Windows\INetCache\Content.MSO\31F24C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 Prins\AppData\Local\Microsoft\Windows\INetCache\Content.MSO\31F24C90.tmp"/>
                    <pic:cNvPicPr>
                      <a:picLocks noChangeAspect="1" noChangeArrowheads="1"/>
                    </pic:cNvPicPr>
                  </pic:nvPicPr>
                  <pic:blipFill rotWithShape="1">
                    <a:blip r:embed="rId11">
                      <a:extLst>
                        <a:ext uri="{28A0092B-C50C-407E-A947-70E740481C1C}">
                          <a14:useLocalDpi xmlns:a14="http://schemas.microsoft.com/office/drawing/2010/main" val="0"/>
                        </a:ext>
                      </a:extLst>
                    </a:blip>
                    <a:srcRect l="2333" r="2479"/>
                    <a:stretch/>
                  </pic:blipFill>
                  <pic:spPr bwMode="auto">
                    <a:xfrm>
                      <a:off x="0" y="0"/>
                      <a:ext cx="4736460"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23C4ECDD" w14:textId="77777777" w:rsidR="00286BEB" w:rsidRPr="005E3661" w:rsidRDefault="00286BEB" w:rsidP="00B8542F">
      <w:pPr>
        <w:pStyle w:val="NormalWeb"/>
      </w:pPr>
    </w:p>
    <w:p w14:paraId="37538719" w14:textId="38467755" w:rsidR="00160C23" w:rsidRPr="005E3661" w:rsidRDefault="00DE463C" w:rsidP="00DE463C">
      <w:pPr>
        <w:pStyle w:val="NormalWeb"/>
        <w:tabs>
          <w:tab w:val="left" w:pos="4077"/>
        </w:tabs>
      </w:pPr>
      <w:r>
        <w:tab/>
      </w:r>
    </w:p>
    <w:p w14:paraId="39E23399" w14:textId="6CAB84E9" w:rsidR="00160C23" w:rsidRPr="00DE463C" w:rsidRDefault="00160C23" w:rsidP="00DE463C">
      <w:pPr>
        <w:pStyle w:val="Title"/>
      </w:pPr>
      <w:r w:rsidRPr="00DE463C">
        <w:t>Empower Clinics Inc.</w:t>
      </w:r>
    </w:p>
    <w:p w14:paraId="0B16BFFB" w14:textId="5874C66A" w:rsidR="00160C23" w:rsidRDefault="00160C23" w:rsidP="00DE463C"/>
    <w:p w14:paraId="12ECC7A6" w14:textId="77777777" w:rsidR="00DE463C" w:rsidRPr="005E3661" w:rsidRDefault="00DE463C" w:rsidP="00DE463C"/>
    <w:p w14:paraId="32E0D1CC" w14:textId="1A729C48" w:rsidR="00007ADF" w:rsidRPr="00DE463C" w:rsidRDefault="00286BEB" w:rsidP="00DE463C">
      <w:pPr>
        <w:pStyle w:val="Heading1"/>
        <w:jc w:val="center"/>
        <w:rPr>
          <w:sz w:val="32"/>
          <w:szCs w:val="32"/>
        </w:rPr>
      </w:pPr>
      <w:r w:rsidRPr="00DE463C">
        <w:rPr>
          <w:sz w:val="32"/>
          <w:szCs w:val="32"/>
        </w:rPr>
        <w:t>Management’s Discussion &amp; Analysis</w:t>
      </w:r>
    </w:p>
    <w:p w14:paraId="47DDF19F" w14:textId="77777777" w:rsidR="00007ADF" w:rsidRPr="005E3661" w:rsidRDefault="00007ADF" w:rsidP="00DE463C"/>
    <w:p w14:paraId="229D7B5E" w14:textId="4E9FCAF7" w:rsidR="00DA7671" w:rsidRPr="00DE463C" w:rsidRDefault="00DA7671" w:rsidP="00DE463C">
      <w:pPr>
        <w:jc w:val="center"/>
        <w:rPr>
          <w:sz w:val="24"/>
          <w:szCs w:val="24"/>
        </w:rPr>
      </w:pPr>
      <w:r w:rsidRPr="00DE463C">
        <w:rPr>
          <w:sz w:val="24"/>
          <w:szCs w:val="24"/>
        </w:rPr>
        <w:t xml:space="preserve">For the </w:t>
      </w:r>
      <w:r w:rsidR="002B483D">
        <w:rPr>
          <w:sz w:val="24"/>
          <w:szCs w:val="24"/>
        </w:rPr>
        <w:t>three months</w:t>
      </w:r>
      <w:r w:rsidR="00102915">
        <w:rPr>
          <w:sz w:val="24"/>
          <w:szCs w:val="24"/>
        </w:rPr>
        <w:t xml:space="preserve"> ended </w:t>
      </w:r>
      <w:r w:rsidR="002B483D">
        <w:rPr>
          <w:sz w:val="24"/>
          <w:szCs w:val="24"/>
        </w:rPr>
        <w:t xml:space="preserve">March 31, </w:t>
      </w:r>
      <w:proofErr w:type="gramStart"/>
      <w:r w:rsidR="002B483D">
        <w:rPr>
          <w:sz w:val="24"/>
          <w:szCs w:val="24"/>
        </w:rPr>
        <w:t>2022</w:t>
      </w:r>
      <w:proofErr w:type="gramEnd"/>
      <w:r w:rsidR="002B483D">
        <w:rPr>
          <w:sz w:val="24"/>
          <w:szCs w:val="24"/>
        </w:rPr>
        <w:t xml:space="preserve"> and</w:t>
      </w:r>
      <w:r w:rsidR="00102915">
        <w:rPr>
          <w:sz w:val="24"/>
          <w:szCs w:val="24"/>
        </w:rPr>
        <w:t xml:space="preserve"> 2021</w:t>
      </w:r>
    </w:p>
    <w:p w14:paraId="0586F826" w14:textId="77777777" w:rsidR="00160C23" w:rsidRPr="005E3661" w:rsidRDefault="00160C23" w:rsidP="00DE463C">
      <w:pPr>
        <w:jc w:val="center"/>
      </w:pPr>
    </w:p>
    <w:p w14:paraId="74E72F2B" w14:textId="6EC09702" w:rsidR="00160C23" w:rsidRPr="00DE463C" w:rsidRDefault="00160C23" w:rsidP="00DE463C">
      <w:pPr>
        <w:jc w:val="center"/>
        <w:rPr>
          <w:i/>
          <w:iCs/>
          <w:sz w:val="20"/>
          <w:szCs w:val="20"/>
        </w:rPr>
      </w:pPr>
      <w:r w:rsidRPr="00DE463C">
        <w:rPr>
          <w:i/>
          <w:iCs/>
          <w:sz w:val="20"/>
          <w:szCs w:val="20"/>
        </w:rPr>
        <w:t>Expressed in U</w:t>
      </w:r>
      <w:r w:rsidR="00C914FC">
        <w:rPr>
          <w:i/>
          <w:iCs/>
          <w:sz w:val="20"/>
          <w:szCs w:val="20"/>
        </w:rPr>
        <w:t xml:space="preserve">nited </w:t>
      </w:r>
      <w:r w:rsidRPr="00DE463C">
        <w:rPr>
          <w:i/>
          <w:iCs/>
          <w:sz w:val="20"/>
          <w:szCs w:val="20"/>
        </w:rPr>
        <w:t>S</w:t>
      </w:r>
      <w:r w:rsidR="005A6937">
        <w:rPr>
          <w:i/>
          <w:iCs/>
          <w:sz w:val="20"/>
          <w:szCs w:val="20"/>
        </w:rPr>
        <w:t>tates</w:t>
      </w:r>
      <w:r w:rsidRPr="00DE463C">
        <w:rPr>
          <w:i/>
          <w:iCs/>
          <w:sz w:val="20"/>
          <w:szCs w:val="20"/>
        </w:rPr>
        <w:t xml:space="preserve"> dollars</w:t>
      </w:r>
    </w:p>
    <w:p w14:paraId="3AEEE240" w14:textId="77777777" w:rsidR="00160C23" w:rsidRPr="005E3661" w:rsidRDefault="00160C23" w:rsidP="00DE463C"/>
    <w:p w14:paraId="4CE4D0F7" w14:textId="77777777" w:rsidR="00A93EA9" w:rsidRPr="005E3661" w:rsidRDefault="00A93EA9" w:rsidP="00B8542F"/>
    <w:p w14:paraId="2D6CF866" w14:textId="77777777" w:rsidR="00426CA0" w:rsidRPr="005E3661" w:rsidRDefault="00426CA0" w:rsidP="00B8542F">
      <w:pPr>
        <w:sectPr w:rsidR="00426CA0" w:rsidRPr="005E3661" w:rsidSect="00F0598A">
          <w:headerReference w:type="even" r:id="rId12"/>
          <w:headerReference w:type="default" r:id="rId13"/>
          <w:footerReference w:type="default" r:id="rId14"/>
          <w:pgSz w:w="12240" w:h="15840"/>
          <w:pgMar w:top="1440" w:right="1440" w:bottom="1440" w:left="1440" w:header="720" w:footer="720" w:gutter="0"/>
          <w:cols w:space="720"/>
          <w:titlePg/>
          <w:docGrid w:linePitch="360"/>
        </w:sectPr>
      </w:pPr>
    </w:p>
    <w:p w14:paraId="1DC5B99A" w14:textId="33DC02F5" w:rsidR="001A68AB" w:rsidRDefault="001A68AB" w:rsidP="001A68AB">
      <w:pPr>
        <w:pStyle w:val="Heading1"/>
      </w:pPr>
      <w:r>
        <w:lastRenderedPageBreak/>
        <w:t>Preface</w:t>
      </w:r>
    </w:p>
    <w:p w14:paraId="284B6378" w14:textId="77777777" w:rsidR="001A68AB" w:rsidRDefault="001A68AB" w:rsidP="00B8542F"/>
    <w:p w14:paraId="756358DE" w14:textId="456E01E4" w:rsidR="00426CA0" w:rsidRPr="005E3661" w:rsidRDefault="00426CA0" w:rsidP="00B8542F">
      <w:r w:rsidRPr="005E3661">
        <w:t xml:space="preserve">In this Management’s Discussion &amp; Analysis (“MD&amp;A), “Empower”, the “Company”, or the words “we”, “us”, and “our” refer to </w:t>
      </w:r>
      <w:r w:rsidR="00DA7671" w:rsidRPr="005E3661">
        <w:t xml:space="preserve">Empower Clinics Inc. together with </w:t>
      </w:r>
      <w:r w:rsidRPr="005E3661">
        <w:t xml:space="preserve">its </w:t>
      </w:r>
      <w:r w:rsidR="00DA7671" w:rsidRPr="005E3661">
        <w:t>subsidiaries</w:t>
      </w:r>
      <w:r w:rsidRPr="005E3661">
        <w:t>.</w:t>
      </w:r>
    </w:p>
    <w:p w14:paraId="02DB96A8" w14:textId="77777777" w:rsidR="00426CA0" w:rsidRPr="005E3661" w:rsidRDefault="00426CA0" w:rsidP="00B8542F"/>
    <w:p w14:paraId="46ACD5BB" w14:textId="5E21ED61" w:rsidR="002B483D" w:rsidRDefault="00426CA0" w:rsidP="00B8542F">
      <w:r w:rsidRPr="005E3661">
        <w:t>This MD&amp;A comments on our</w:t>
      </w:r>
      <w:r w:rsidR="00DA7671" w:rsidRPr="005E3661">
        <w:t xml:space="preserve"> financial condition</w:t>
      </w:r>
      <w:r w:rsidRPr="005E3661">
        <w:t>, financial performance,</w:t>
      </w:r>
      <w:r w:rsidR="00DA7671" w:rsidRPr="005E3661">
        <w:t xml:space="preserve"> and results of operations for the </w:t>
      </w:r>
      <w:r w:rsidR="002B483D">
        <w:t>three months</w:t>
      </w:r>
      <w:r w:rsidR="00102915">
        <w:t xml:space="preserve"> ended </w:t>
      </w:r>
      <w:r w:rsidR="002B483D">
        <w:t>March 31, 2022, and 2021</w:t>
      </w:r>
      <w:r w:rsidR="00DA7671" w:rsidRPr="005E3661">
        <w:t xml:space="preserve">. </w:t>
      </w:r>
      <w:r w:rsidRPr="005E3661">
        <w:t>All amounts are expressed in US dollars</w:t>
      </w:r>
      <w:r w:rsidR="001A68AB">
        <w:t xml:space="preserve"> unless otherwise noted. </w:t>
      </w:r>
      <w:r w:rsidR="00DA7671" w:rsidRPr="005E3661">
        <w:t xml:space="preserve">Past performance may not be indicative of future performance. This MD&amp;A </w:t>
      </w:r>
      <w:r w:rsidR="00E00DE5">
        <w:t xml:space="preserve">is supplemental and </w:t>
      </w:r>
      <w:r w:rsidR="00DA7671" w:rsidRPr="005E3661">
        <w:t xml:space="preserve">should be read in conjunction with the </w:t>
      </w:r>
      <w:r w:rsidR="002B483D">
        <w:t xml:space="preserve">unaudited condensed interim consolidated financial statements and accompanying notes for the three months ended March 31, </w:t>
      </w:r>
      <w:proofErr w:type="gramStart"/>
      <w:r w:rsidR="002B483D">
        <w:t>2022</w:t>
      </w:r>
      <w:proofErr w:type="gramEnd"/>
      <w:r w:rsidR="002B483D">
        <w:t xml:space="preserve"> and 2021 (the “Financial Statements”) and the </w:t>
      </w:r>
      <w:r w:rsidR="00E00DE5" w:rsidRPr="004878D6">
        <w:t xml:space="preserve">audited </w:t>
      </w:r>
      <w:r w:rsidR="00DA7671" w:rsidRPr="004878D6">
        <w:t xml:space="preserve">consolidated financial statements </w:t>
      </w:r>
      <w:r w:rsidR="00DA7671" w:rsidRPr="005E3661">
        <w:t xml:space="preserve">and </w:t>
      </w:r>
      <w:r w:rsidR="00E00DE5">
        <w:t>accompanying</w:t>
      </w:r>
      <w:r w:rsidR="00DA7671" w:rsidRPr="005E3661">
        <w:t xml:space="preserve"> notes for the </w:t>
      </w:r>
      <w:r w:rsidR="005D20A7">
        <w:t>year ended December 31, 2021</w:t>
      </w:r>
      <w:r w:rsidR="008049CD" w:rsidRPr="005E3661">
        <w:t xml:space="preserve"> (</w:t>
      </w:r>
      <w:r w:rsidR="001A68AB">
        <w:t xml:space="preserve">the </w:t>
      </w:r>
      <w:r w:rsidR="002B483D">
        <w:t xml:space="preserve">“Annual </w:t>
      </w:r>
      <w:r w:rsidR="00E00DE5">
        <w:t>F</w:t>
      </w:r>
      <w:r w:rsidR="008049CD" w:rsidRPr="005E3661">
        <w:t xml:space="preserve">inancial </w:t>
      </w:r>
      <w:r w:rsidR="00E00DE5">
        <w:t>S</w:t>
      </w:r>
      <w:r w:rsidR="008049CD" w:rsidRPr="005E3661">
        <w:t>tatements”)</w:t>
      </w:r>
      <w:r w:rsidR="002B483D">
        <w:t xml:space="preserve"> and the annual Management’s Discussion &amp; Analysis for the year ended December 31, 2021 (the “Annual MD&amp;A”)</w:t>
      </w:r>
    </w:p>
    <w:p w14:paraId="32AB4692" w14:textId="77777777" w:rsidR="00E00DE5" w:rsidRDefault="00E00DE5" w:rsidP="00B8542F"/>
    <w:p w14:paraId="5B6DE182" w14:textId="502F6BB7" w:rsidR="00DA7671" w:rsidRPr="005E3661" w:rsidRDefault="00E00DE5" w:rsidP="00B8542F">
      <w:r>
        <w:t xml:space="preserve">All financial information contained in this MD&amp;A and in the Financial Statements is prepared in accordance with International Financial Reporting Standards (“IFRS”), including IAS 34 </w:t>
      </w:r>
      <w:r w:rsidRPr="00E00DE5">
        <w:rPr>
          <w:i/>
          <w:iCs/>
        </w:rPr>
        <w:t>Interim Financial Reporting</w:t>
      </w:r>
      <w:r>
        <w:rPr>
          <w:i/>
          <w:iCs/>
        </w:rPr>
        <w:t>,</w:t>
      </w:r>
      <w:r w:rsidRPr="00E00DE5">
        <w:t xml:space="preserve"> as issued</w:t>
      </w:r>
      <w:r>
        <w:t xml:space="preserve"> by the International Accounting Standards Board (“IASB”), except for non-GAAP information as noted and where a reconciliation to IFRS is provided.</w:t>
      </w:r>
      <w:r w:rsidR="00DA7671" w:rsidRPr="005E3661">
        <w:t xml:space="preserve"> </w:t>
      </w:r>
    </w:p>
    <w:p w14:paraId="5F23E8BE" w14:textId="745C37AE" w:rsidR="00A93EA9" w:rsidRPr="005E3661" w:rsidRDefault="00A93EA9" w:rsidP="00B8542F"/>
    <w:p w14:paraId="10D0F743" w14:textId="5CC160DF" w:rsidR="00A93EA9" w:rsidRPr="005E3661" w:rsidRDefault="00A93EA9" w:rsidP="00B8542F">
      <w:r w:rsidRPr="005E3661">
        <w:t>The first, second, third and fourth quarters of the Company’s fiscal years are referred to as “Q1”, “Q2”, “Q3” and “Q4”, respectively. The years ended December 31, 20</w:t>
      </w:r>
      <w:r w:rsidR="000D4F47" w:rsidRPr="005E3661">
        <w:t>2</w:t>
      </w:r>
      <w:r w:rsidR="00650CD8">
        <w:t>1</w:t>
      </w:r>
      <w:r w:rsidR="003A2A84" w:rsidRPr="005E3661">
        <w:t>, 20</w:t>
      </w:r>
      <w:r w:rsidR="00650CD8">
        <w:t>20,</w:t>
      </w:r>
      <w:r w:rsidR="003A2A84" w:rsidRPr="005E3661">
        <w:t xml:space="preserve"> and 201</w:t>
      </w:r>
      <w:r w:rsidR="00650CD8">
        <w:t>9</w:t>
      </w:r>
      <w:r w:rsidRPr="005E3661">
        <w:t>, are also referred to as “fiscal 20</w:t>
      </w:r>
      <w:r w:rsidR="000D4F47" w:rsidRPr="005E3661">
        <w:t>2</w:t>
      </w:r>
      <w:r w:rsidR="00650CD8">
        <w:t>1</w:t>
      </w:r>
      <w:r w:rsidRPr="005E3661">
        <w:t>”</w:t>
      </w:r>
      <w:r w:rsidR="003A2A84" w:rsidRPr="005E3661">
        <w:t>,</w:t>
      </w:r>
      <w:r w:rsidRPr="005E3661">
        <w:t xml:space="preserve"> “fiscal 20</w:t>
      </w:r>
      <w:r w:rsidR="00650CD8">
        <w:t>20</w:t>
      </w:r>
      <w:r w:rsidRPr="005E3661">
        <w:t>”</w:t>
      </w:r>
      <w:r w:rsidR="003A2A84" w:rsidRPr="005E3661">
        <w:t xml:space="preserve"> and “fiscal 20</w:t>
      </w:r>
      <w:r w:rsidR="00650CD8">
        <w:t>19</w:t>
      </w:r>
      <w:r w:rsidR="003A2A84" w:rsidRPr="005E3661">
        <w:t>”</w:t>
      </w:r>
      <w:r w:rsidRPr="005E3661">
        <w:t>, respectively.</w:t>
      </w:r>
    </w:p>
    <w:p w14:paraId="1C94E4C3" w14:textId="1718CDA8" w:rsidR="001F1660" w:rsidRPr="005E3661" w:rsidRDefault="001F1660" w:rsidP="00B8542F"/>
    <w:p w14:paraId="4E50BD7F" w14:textId="5A0554B6" w:rsidR="00426CA0" w:rsidRPr="005E3661" w:rsidRDefault="00426CA0" w:rsidP="00B8542F">
      <w:r w:rsidRPr="005E3661">
        <w:t xml:space="preserve">In preparing this MD&amp;A, we have considered </w:t>
      </w:r>
      <w:r w:rsidRPr="00DD24D0">
        <w:t xml:space="preserve">all information available to us up to </w:t>
      </w:r>
      <w:r w:rsidR="00754D62">
        <w:t>November</w:t>
      </w:r>
      <w:r w:rsidR="00640AC0">
        <w:t xml:space="preserve"> </w:t>
      </w:r>
      <w:r w:rsidR="00C7651A">
        <w:t>1</w:t>
      </w:r>
      <w:r w:rsidR="00640AC0">
        <w:t>,</w:t>
      </w:r>
      <w:r w:rsidR="005D20A7">
        <w:t xml:space="preserve"> 2022</w:t>
      </w:r>
      <w:r w:rsidRPr="005E3661">
        <w:t>.</w:t>
      </w:r>
    </w:p>
    <w:p w14:paraId="50678478" w14:textId="77777777" w:rsidR="00426CA0" w:rsidRPr="005E3661" w:rsidRDefault="00426CA0" w:rsidP="00B8542F"/>
    <w:p w14:paraId="1B5CF0B2" w14:textId="4B8936CD" w:rsidR="00007ADF" w:rsidRPr="005E3661" w:rsidRDefault="00877A3B" w:rsidP="00B8542F">
      <w:r w:rsidRPr="005E3661">
        <w:t>This MD&amp;A contains forward-looking information within the meaning of Canadian securities laws. Refer to “Cautionary Note Regarding Forward-Looking Statements”. All s</w:t>
      </w:r>
      <w:r w:rsidR="001F1660" w:rsidRPr="005E3661">
        <w:t>tatements</w:t>
      </w:r>
      <w:r w:rsidRPr="005E3661">
        <w:t xml:space="preserve"> made by management</w:t>
      </w:r>
      <w:r w:rsidR="001F1660" w:rsidRPr="005E3661">
        <w:t xml:space="preserve"> are subject to the risks and uncertainties identified in the “Risks and Uncertainties” section of this document.</w:t>
      </w:r>
    </w:p>
    <w:p w14:paraId="3F517AEF" w14:textId="33E6062E" w:rsidR="00C6071B" w:rsidRPr="005E3661" w:rsidRDefault="00C6071B" w:rsidP="00B8542F"/>
    <w:p w14:paraId="33408870" w14:textId="50C70946" w:rsidR="001F1660" w:rsidRPr="005E3661" w:rsidRDefault="00E00DE5" w:rsidP="00B8542F">
      <w:r>
        <w:t xml:space="preserve">This MD&amp;A has been prepared by reference to the MD&amp;A disclosure requirements established under National Instrument 51-102 “Continuous Disclosure Obligations” of the Canadian Securities Administrators. </w:t>
      </w:r>
      <w:r w:rsidR="00877A3B" w:rsidRPr="005E3661">
        <w:t xml:space="preserve">Additional information regarding the Company is available </w:t>
      </w:r>
      <w:r w:rsidR="001F1660" w:rsidRPr="005E3661">
        <w:t xml:space="preserve">on our website at </w:t>
      </w:r>
      <w:hyperlink r:id="rId15" w:history="1">
        <w:r w:rsidR="00305F8A" w:rsidRPr="00A01DF8">
          <w:rPr>
            <w:rStyle w:val="Hyperlink"/>
          </w:rPr>
          <w:t>www.EmpowerClinics.com</w:t>
        </w:r>
      </w:hyperlink>
      <w:r w:rsidR="001F1660" w:rsidRPr="005E3661">
        <w:t xml:space="preserve"> and on SEDAR at </w:t>
      </w:r>
      <w:hyperlink r:id="rId16" w:history="1">
        <w:r w:rsidR="00305F8A" w:rsidRPr="00A01DF8">
          <w:rPr>
            <w:rStyle w:val="Hyperlink"/>
          </w:rPr>
          <w:t>www.SEDAR.com</w:t>
        </w:r>
      </w:hyperlink>
      <w:r w:rsidR="00877A3B" w:rsidRPr="005E3661">
        <w:t>.</w:t>
      </w:r>
    </w:p>
    <w:p w14:paraId="33E2C231" w14:textId="33293505" w:rsidR="00C00F4C" w:rsidRDefault="00C00F4C" w:rsidP="00B8542F"/>
    <w:p w14:paraId="4EE3D051" w14:textId="77777777" w:rsidR="009127D6" w:rsidRPr="005E3661" w:rsidRDefault="009127D6" w:rsidP="00B8542F"/>
    <w:p w14:paraId="0D58267C" w14:textId="77777777" w:rsidR="00754D62" w:rsidRPr="00327130" w:rsidRDefault="00754D62" w:rsidP="00754D62">
      <w:pPr>
        <w:pStyle w:val="Heading1"/>
      </w:pPr>
      <w:r w:rsidRPr="00327130">
        <w:t>Nature of Operations</w:t>
      </w:r>
    </w:p>
    <w:p w14:paraId="09C91986" w14:textId="77777777" w:rsidR="00754D62" w:rsidRPr="005E3661" w:rsidRDefault="00754D62" w:rsidP="00754D62"/>
    <w:p w14:paraId="02E4DF2F" w14:textId="77777777" w:rsidR="00754D62" w:rsidRDefault="00754D62" w:rsidP="00754D62">
      <w:r w:rsidRPr="005E3661">
        <w:t>Headquartered in Vancouver, B</w:t>
      </w:r>
      <w:r>
        <w:t>ritish Columbia</w:t>
      </w:r>
      <w:r w:rsidRPr="005E3661">
        <w:t xml:space="preserve">, </w:t>
      </w:r>
      <w:proofErr w:type="gramStart"/>
      <w:r w:rsidRPr="005E3661">
        <w:t>Empower</w:t>
      </w:r>
      <w:proofErr w:type="gramEnd"/>
      <w:r w:rsidRPr="005E3661">
        <w:t xml:space="preserve"> is a federally incorporated Canadian company that is publicly traded on the Canadian Securities Exchange under the symbol CBDT, quoted on the OTCQB under the symbol “EPWCF” and quoted on the Frankfurt Stock Exchange under the symbol</w:t>
      </w:r>
      <w:r>
        <w:t>s</w:t>
      </w:r>
      <w:r w:rsidRPr="005E3661">
        <w:t xml:space="preserve"> “</w:t>
      </w:r>
      <w:r w:rsidRPr="005E3661">
        <w:rPr>
          <w:color w:val="444444"/>
          <w:shd w:val="clear" w:color="auto" w:fill="FEFEFE"/>
        </w:rPr>
        <w:t>8EC</w:t>
      </w:r>
      <w:r w:rsidRPr="005E3661">
        <w:t>.F</w:t>
      </w:r>
      <w:r>
        <w:t>”,</w:t>
      </w:r>
      <w:r w:rsidRPr="005E3661">
        <w:t xml:space="preserve"> </w:t>
      </w:r>
      <w:r>
        <w:t>“</w:t>
      </w:r>
      <w:r w:rsidRPr="005E3661">
        <w:rPr>
          <w:color w:val="444444"/>
          <w:shd w:val="clear" w:color="auto" w:fill="FEFEFE"/>
        </w:rPr>
        <w:t>8EC</w:t>
      </w:r>
      <w:r w:rsidRPr="005E3661">
        <w:t>.MU</w:t>
      </w:r>
      <w:r>
        <w:t>”</w:t>
      </w:r>
      <w:r w:rsidRPr="005E3661">
        <w:t>,</w:t>
      </w:r>
      <w:r>
        <w:t xml:space="preserve"> and “</w:t>
      </w:r>
      <w:r w:rsidRPr="005E3661">
        <w:rPr>
          <w:color w:val="444444"/>
          <w:shd w:val="clear" w:color="auto" w:fill="FEFEFE"/>
        </w:rPr>
        <w:t>8EC</w:t>
      </w:r>
      <w:r w:rsidRPr="005E3661">
        <w:t>.SG”.</w:t>
      </w:r>
    </w:p>
    <w:p w14:paraId="2152B5B7" w14:textId="77777777" w:rsidR="00754D62" w:rsidRDefault="00754D62" w:rsidP="00754D62"/>
    <w:p w14:paraId="7D11E454" w14:textId="77777777" w:rsidR="00754D62" w:rsidRPr="005E3661" w:rsidRDefault="00754D62" w:rsidP="00754D62">
      <w:r w:rsidRPr="005E3661">
        <w:t>Empower is a leader in integrated healthcare and diagnostic s</w:t>
      </w:r>
      <w:r>
        <w:t>olutions in the United States and Canada and is</w:t>
      </w:r>
      <w:r w:rsidRPr="005E3661">
        <w:t xml:space="preserve"> reshaping the model for patient-first integrated healthcare and wellness by leveraging our experience with clinic management, technology, quality products, </w:t>
      </w:r>
      <w:r>
        <w:t xml:space="preserve">medical </w:t>
      </w:r>
      <w:r w:rsidRPr="005E3661">
        <w:t>and paramedical expertise.</w:t>
      </w:r>
      <w:r>
        <w:t xml:space="preserve"> </w:t>
      </w:r>
      <w:r w:rsidRPr="005E3661">
        <w:t>Supported by an experienced leadership team</w:t>
      </w:r>
      <w:r>
        <w:t xml:space="preserve"> and in partnership with renowned pharmacy brands</w:t>
      </w:r>
      <w:r w:rsidRPr="005E3661">
        <w:t xml:space="preserve">, </w:t>
      </w:r>
      <w:proofErr w:type="gramStart"/>
      <w:r w:rsidRPr="005E3661">
        <w:t>Empower</w:t>
      </w:r>
      <w:proofErr w:type="gramEnd"/>
      <w:r w:rsidRPr="005E3661">
        <w:t xml:space="preserve"> is aggressively growing its clinical and digital presence across North America. Our Health &amp; Wellness and Diagnostics &amp; Technology business units are positioned to positively impact the integrated health of our patients, while simultaneously providing long term value for our </w:t>
      </w:r>
      <w:r>
        <w:t>share</w:t>
      </w:r>
      <w:r w:rsidRPr="005E3661">
        <w:t>holders.</w:t>
      </w:r>
      <w:r>
        <w:t xml:space="preserve"> </w:t>
      </w:r>
    </w:p>
    <w:p w14:paraId="327159DC" w14:textId="77777777" w:rsidR="00754D62" w:rsidRPr="005E3661" w:rsidRDefault="00754D62" w:rsidP="00754D62"/>
    <w:p w14:paraId="419123C4" w14:textId="77777777" w:rsidR="00754D62" w:rsidRPr="00B8542F" w:rsidRDefault="00754D62" w:rsidP="00754D62">
      <w:pPr>
        <w:pStyle w:val="Heading2"/>
      </w:pPr>
      <w:r w:rsidRPr="00B8542F">
        <w:t>The Medi-Collective</w:t>
      </w:r>
    </w:p>
    <w:p w14:paraId="7815DDAE" w14:textId="77777777" w:rsidR="00754D62" w:rsidRPr="005E3661" w:rsidRDefault="00754D62" w:rsidP="00754D62"/>
    <w:p w14:paraId="79E66759" w14:textId="5CBF4C22" w:rsidR="00754D62" w:rsidRDefault="0061064F" w:rsidP="00754D62">
      <w:r>
        <w:t>Empower</w:t>
      </w:r>
      <w:r w:rsidR="00754D62">
        <w:t xml:space="preserve"> launched </w:t>
      </w:r>
      <w:r w:rsidR="00754D62" w:rsidRPr="005E3661">
        <w:t>The Medi</w:t>
      </w:r>
      <w:r w:rsidR="00754D62">
        <w:t>-</w:t>
      </w:r>
      <w:r w:rsidR="00754D62" w:rsidRPr="005E3661">
        <w:t>Collective (“TMC”),</w:t>
      </w:r>
      <w:r w:rsidR="00754D62">
        <w:t xml:space="preserve"> the evolution of </w:t>
      </w:r>
      <w:proofErr w:type="spellStart"/>
      <w:r w:rsidR="00754D62">
        <w:t>Empower’s</w:t>
      </w:r>
      <w:proofErr w:type="spellEnd"/>
      <w:r w:rsidR="00754D62">
        <w:t xml:space="preserve"> network of integrated healthcare </w:t>
      </w:r>
      <w:r w:rsidR="00754D62" w:rsidRPr="005E3661">
        <w:t xml:space="preserve">clinics in Canada </w:t>
      </w:r>
      <w:r w:rsidR="00754D62">
        <w:t xml:space="preserve">providing </w:t>
      </w:r>
      <w:r w:rsidR="00754D62" w:rsidRPr="005E3661">
        <w:t>body and mind wellness</w:t>
      </w:r>
      <w:r w:rsidR="00754D62">
        <w:t xml:space="preserve">, and </w:t>
      </w:r>
      <w:r w:rsidR="00754D62" w:rsidRPr="005E3661">
        <w:t xml:space="preserve">treating patients with </w:t>
      </w:r>
      <w:r w:rsidR="00754D62">
        <w:t>primary care, paramedical services and specialty services</w:t>
      </w:r>
      <w:r w:rsidR="00754D62" w:rsidRPr="005E3661">
        <w:t xml:space="preserve">. </w:t>
      </w:r>
      <w:r w:rsidR="00754D62">
        <w:t xml:space="preserve">TMC </w:t>
      </w:r>
      <w:r w:rsidR="00754D62" w:rsidRPr="006C30DE">
        <w:t xml:space="preserve">is a multi-disciplinary group of medical practitioners dedicated to applying a collaborative working model with the goal of delivering effective community healthcare and positive wellness. </w:t>
      </w:r>
      <w:r w:rsidR="00754D62">
        <w:t>TMC’s</w:t>
      </w:r>
      <w:r w:rsidR="00754D62" w:rsidRPr="006C30DE">
        <w:t xml:space="preserve"> practice starts and ends with the people who make up our community</w:t>
      </w:r>
      <w:r w:rsidR="00754D62">
        <w:t>, f</w:t>
      </w:r>
      <w:r w:rsidR="00754D62" w:rsidRPr="006C30DE">
        <w:t xml:space="preserve">rom </w:t>
      </w:r>
      <w:r w:rsidR="00754D62">
        <w:t xml:space="preserve">our </w:t>
      </w:r>
      <w:r w:rsidR="00754D62" w:rsidRPr="006C30DE">
        <w:t xml:space="preserve">top-quality practitioners striving for excellence every day, to </w:t>
      </w:r>
      <w:r w:rsidR="00754D62">
        <w:t>the</w:t>
      </w:r>
      <w:r w:rsidR="00754D62" w:rsidRPr="006C30DE">
        <w:t xml:space="preserve"> </w:t>
      </w:r>
      <w:r w:rsidR="00754D62">
        <w:t xml:space="preserve">patients and </w:t>
      </w:r>
      <w:r w:rsidR="00754D62" w:rsidRPr="006C30DE">
        <w:t>client</w:t>
      </w:r>
      <w:r w:rsidR="00754D62">
        <w:t>s</w:t>
      </w:r>
      <w:r w:rsidR="00754D62" w:rsidRPr="006C30DE">
        <w:t xml:space="preserve"> we care for. </w:t>
      </w:r>
      <w:r w:rsidR="00754D62">
        <w:t>Fueled by the belief that</w:t>
      </w:r>
      <w:r w:rsidR="00754D62" w:rsidRPr="006C30DE">
        <w:t xml:space="preserve"> effective healthcare is as much a mental approach as a physical one</w:t>
      </w:r>
      <w:r w:rsidR="00754D62">
        <w:t xml:space="preserve"> and b</w:t>
      </w:r>
      <w:r w:rsidR="00754D62" w:rsidRPr="006C30DE">
        <w:t>y bringing together the power of positive attitudes with the most advanced medical methodologies</w:t>
      </w:r>
      <w:r w:rsidR="00754D62">
        <w:t>,</w:t>
      </w:r>
      <w:r w:rsidR="00754D62" w:rsidRPr="006C30DE">
        <w:t xml:space="preserve"> we create the best possible opportunity to produce the best possible outcomes for everyone involved, physically and mentally.</w:t>
      </w:r>
    </w:p>
    <w:p w14:paraId="1717CD60" w14:textId="77777777" w:rsidR="00754D62" w:rsidRDefault="00754D62" w:rsidP="00754D62">
      <w:pPr>
        <w:spacing w:after="160" w:line="259" w:lineRule="auto"/>
        <w:jc w:val="left"/>
      </w:pPr>
      <w:r>
        <w:br w:type="page"/>
      </w:r>
    </w:p>
    <w:p w14:paraId="072EA216" w14:textId="77777777" w:rsidR="00754D62" w:rsidRDefault="00754D62" w:rsidP="00754D62">
      <w:r>
        <w:lastRenderedPageBreak/>
        <w:t xml:space="preserve">In partnership with renowned pharmacy brands, </w:t>
      </w:r>
      <w:r w:rsidRPr="005E3661">
        <w:t xml:space="preserve">TMC </w:t>
      </w:r>
      <w:r>
        <w:t>is</w:t>
      </w:r>
      <w:r w:rsidRPr="005E3661">
        <w:t xml:space="preserve"> a channel for accessible and modern healthcare while providing communities with high-quality service </w:t>
      </w:r>
      <w:r w:rsidRPr="00321455">
        <w:t xml:space="preserve">through professionally trained medical practitioners. TMC’s clinics provide patient accessibility through digital and telemedicine care offerings. </w:t>
      </w:r>
      <w:r w:rsidRPr="009637D9">
        <w:t>TMC operates software platforms to manage patients through the medical consultation process that is a compliant Electronic Health Record system and patient management portal. It provides improved management of patients while improving the ability of our doctors, admins and staff to treat and serve patients needs</w:t>
      </w:r>
      <w:r w:rsidRPr="00321455">
        <w:t xml:space="preserve">. The </w:t>
      </w:r>
      <w:r>
        <w:t>telemedicine</w:t>
      </w:r>
      <w:r w:rsidRPr="005E3661">
        <w:t xml:space="preserve"> platform allows patients to register and select an appointment time to conduct a private consultation with one of the physicians remotely through a secure video link, thereby extending the reach of our clinic operations beyond the physical clinic locations.</w:t>
      </w:r>
    </w:p>
    <w:p w14:paraId="230CE10A" w14:textId="77777777" w:rsidR="00754D62" w:rsidRDefault="00754D62" w:rsidP="00754D62"/>
    <w:p w14:paraId="4021F534" w14:textId="77777777" w:rsidR="00754D62" w:rsidRPr="007353D7" w:rsidRDefault="00754D62" w:rsidP="00754D62">
      <w:pPr>
        <w:rPr>
          <w:lang w:val="en-US"/>
        </w:rPr>
      </w:pPr>
      <w:r>
        <w:t>As of the date of this MD&amp;A, The Medi-Colle</w:t>
      </w:r>
      <w:r w:rsidRPr="005E3018">
        <w:t>ctive has six operational</w:t>
      </w:r>
      <w:r>
        <w:t xml:space="preserve"> clinic locations, two of which exclusively offer paramedical services, while the other four provide an integrated offering of paramedical and primary care services.</w:t>
      </w:r>
    </w:p>
    <w:p w14:paraId="71C8AB0C" w14:textId="77777777" w:rsidR="00754D62" w:rsidRDefault="00754D62" w:rsidP="00754D62"/>
    <w:p w14:paraId="3A56DF6D" w14:textId="77777777" w:rsidR="00754D62" w:rsidRPr="00B8542F" w:rsidRDefault="00754D62" w:rsidP="00754D62">
      <w:pPr>
        <w:pStyle w:val="Heading2"/>
      </w:pPr>
      <w:r w:rsidRPr="00B8542F">
        <w:t>Kai Medical</w:t>
      </w:r>
    </w:p>
    <w:p w14:paraId="31C61A03" w14:textId="77777777" w:rsidR="00754D62" w:rsidRDefault="00754D62" w:rsidP="00754D62"/>
    <w:p w14:paraId="17E0AE86" w14:textId="55A161C5" w:rsidR="00754D62" w:rsidRDefault="0061064F" w:rsidP="00754D62">
      <w:r>
        <w:t xml:space="preserve">Through </w:t>
      </w:r>
      <w:r w:rsidR="00754D62">
        <w:t xml:space="preserve">its subsidiaries, Kai Medical Laboratory, LLC and Kai Medical Canada Corp. (together “Kai Medical”), </w:t>
      </w:r>
      <w:r w:rsidR="00754D62" w:rsidRPr="005E3661">
        <w:t>Empower provide</w:t>
      </w:r>
      <w:r w:rsidR="00754D62">
        <w:t>d</w:t>
      </w:r>
      <w:r w:rsidR="00754D62" w:rsidRPr="005E3661">
        <w:t xml:space="preserve"> </w:t>
      </w:r>
      <w:r w:rsidR="00754D62">
        <w:t xml:space="preserve">world-class </w:t>
      </w:r>
      <w:r w:rsidR="00754D62" w:rsidRPr="005E3661">
        <w:t>medical diagnostics</w:t>
      </w:r>
      <w:r w:rsidR="00754D62">
        <w:t xml:space="preserve"> and testing services. Kai Medical provided large-scale testing capability </w:t>
      </w:r>
      <w:r w:rsidR="00754D62" w:rsidRPr="005E3661">
        <w:t>to support specimen testing demand from enterprise level customers with a focus on key industries such as film &amp; television production, tourism, hospitality, care homes, medical clinics and facilities in the United States.</w:t>
      </w:r>
      <w:r w:rsidR="00754D62">
        <w:t xml:space="preserve"> </w:t>
      </w:r>
    </w:p>
    <w:p w14:paraId="2193FE75" w14:textId="77777777" w:rsidR="00754D62" w:rsidRDefault="00754D62" w:rsidP="00754D62"/>
    <w:p w14:paraId="459595B0" w14:textId="7C623DBC" w:rsidR="00754D62" w:rsidRDefault="0061064F" w:rsidP="00754D62">
      <w:r>
        <w:t>K</w:t>
      </w:r>
      <w:r w:rsidR="00754D62" w:rsidRPr="005E3661">
        <w:t xml:space="preserve">ai </w:t>
      </w:r>
      <w:r w:rsidR="00754D62">
        <w:t xml:space="preserve">Medical </w:t>
      </w:r>
      <w:r w:rsidR="00754D62" w:rsidRPr="005E3661">
        <w:t>operate</w:t>
      </w:r>
      <w:r w:rsidR="00754D62">
        <w:t>d</w:t>
      </w:r>
      <w:r w:rsidR="00754D62" w:rsidRPr="005E3661">
        <w:t xml:space="preserve"> </w:t>
      </w:r>
      <w:r w:rsidR="00754D62">
        <w:t>a</w:t>
      </w:r>
      <w:r w:rsidR="00754D62" w:rsidRPr="005E3661">
        <w:t xml:space="preserve"> direct-to-consumer platform, Kai Care, serving</w:t>
      </w:r>
      <w:r w:rsidR="00754D62">
        <w:t xml:space="preserve"> the</w:t>
      </w:r>
      <w:r w:rsidR="00754D62" w:rsidRPr="005E3661">
        <w:t xml:space="preserve"> U.S. market</w:t>
      </w:r>
      <w:r w:rsidR="00754D62">
        <w:t xml:space="preserve"> </w:t>
      </w:r>
      <w:r w:rsidR="00754D62" w:rsidRPr="005E3661">
        <w:t>with the Kai Care at-home Saliva RT-PCR test kit</w:t>
      </w:r>
      <w:r w:rsidR="00754D62">
        <w:t xml:space="preserve">. </w:t>
      </w:r>
      <w:proofErr w:type="gramStart"/>
      <w:r w:rsidR="00754D62">
        <w:t>Subsequent to</w:t>
      </w:r>
      <w:proofErr w:type="gramEnd"/>
      <w:r w:rsidR="00754D62">
        <w:t xml:space="preserve"> </w:t>
      </w:r>
      <w:r>
        <w:t>period end</w:t>
      </w:r>
      <w:r w:rsidR="00754D62">
        <w:t xml:space="preserve">, Kai Medical was rebranded to </w:t>
      </w:r>
      <w:proofErr w:type="spellStart"/>
      <w:r w:rsidR="00754D62">
        <w:t>MediSure</w:t>
      </w:r>
      <w:proofErr w:type="spellEnd"/>
      <w:r w:rsidR="00754D62">
        <w:t xml:space="preserve"> Laboratory.</w:t>
      </w:r>
    </w:p>
    <w:p w14:paraId="169C49D8" w14:textId="77777777" w:rsidR="00754D62" w:rsidRDefault="00754D62" w:rsidP="00754D62"/>
    <w:p w14:paraId="04C9B332" w14:textId="77777777" w:rsidR="00754D62" w:rsidRDefault="00754D62" w:rsidP="00754D62">
      <w:pPr>
        <w:pStyle w:val="Heading2"/>
        <w:rPr>
          <w:bCs/>
          <w:sz w:val="18"/>
          <w:szCs w:val="18"/>
        </w:rPr>
      </w:pPr>
      <w:proofErr w:type="spellStart"/>
      <w:r w:rsidRPr="00B8542F">
        <w:t>MediSure</w:t>
      </w:r>
      <w:proofErr w:type="spellEnd"/>
    </w:p>
    <w:p w14:paraId="48EC42D4" w14:textId="77777777" w:rsidR="00754D62" w:rsidRDefault="00754D62" w:rsidP="00754D62">
      <w:pPr>
        <w:rPr>
          <w:rFonts w:eastAsiaTheme="minorHAnsi"/>
        </w:rPr>
      </w:pPr>
    </w:p>
    <w:p w14:paraId="2ACCABAA" w14:textId="77777777" w:rsidR="00754D62" w:rsidRPr="005E3661" w:rsidRDefault="00754D62" w:rsidP="00754D62">
      <w:pPr>
        <w:rPr>
          <w:rFonts w:eastAsiaTheme="minorHAnsi"/>
        </w:rPr>
      </w:pPr>
      <w:r w:rsidRPr="005E3661">
        <w:rPr>
          <w:rFonts w:eastAsiaTheme="minorHAnsi"/>
        </w:rPr>
        <w:t>On July 30, 2021</w:t>
      </w:r>
      <w:r>
        <w:rPr>
          <w:rFonts w:eastAsiaTheme="minorHAnsi"/>
        </w:rPr>
        <w:t>,</w:t>
      </w:r>
      <w:r w:rsidRPr="005E3661">
        <w:rPr>
          <w:rFonts w:eastAsiaTheme="minorHAnsi"/>
        </w:rPr>
        <w:t xml:space="preserve"> the Company </w:t>
      </w:r>
      <w:r>
        <w:rPr>
          <w:rFonts w:eastAsiaTheme="minorHAnsi"/>
        </w:rPr>
        <w:t xml:space="preserve">acquired </w:t>
      </w:r>
      <w:proofErr w:type="spellStart"/>
      <w:r w:rsidRPr="005E3661">
        <w:rPr>
          <w:rFonts w:eastAsiaTheme="minorHAnsi"/>
        </w:rPr>
        <w:t>Medi+Sure</w:t>
      </w:r>
      <w:proofErr w:type="spellEnd"/>
      <w:r w:rsidRPr="005E3661">
        <w:rPr>
          <w:rFonts w:eastAsiaTheme="minorHAnsi"/>
        </w:rPr>
        <w:t xml:space="preserve"> Canada Inc. (“</w:t>
      </w:r>
      <w:proofErr w:type="spellStart"/>
      <w:r w:rsidRPr="005E3661">
        <w:rPr>
          <w:rFonts w:eastAsiaTheme="minorHAnsi"/>
        </w:rPr>
        <w:t>MediSure</w:t>
      </w:r>
      <w:proofErr w:type="spellEnd"/>
      <w:r w:rsidRPr="005E3661">
        <w:rPr>
          <w:rFonts w:eastAsiaTheme="minorHAnsi"/>
        </w:rPr>
        <w:t>”)</w:t>
      </w:r>
      <w:r>
        <w:rPr>
          <w:rFonts w:eastAsiaTheme="minorHAnsi"/>
        </w:rPr>
        <w:t>.</w:t>
      </w:r>
      <w:r w:rsidRPr="005E3661">
        <w:rPr>
          <w:rFonts w:eastAsiaTheme="minorHAnsi"/>
        </w:rPr>
        <w:t xml:space="preserve"> Founded in 2010, </w:t>
      </w:r>
      <w:proofErr w:type="spellStart"/>
      <w:r w:rsidRPr="005E3661">
        <w:rPr>
          <w:rFonts w:eastAsiaTheme="minorHAnsi"/>
        </w:rPr>
        <w:t>MediSure</w:t>
      </w:r>
      <w:proofErr w:type="spellEnd"/>
      <w:r w:rsidRPr="005E3661">
        <w:rPr>
          <w:rFonts w:eastAsiaTheme="minorHAnsi"/>
        </w:rPr>
        <w:t xml:space="preserve"> has been dedicated to producing affordable, quality diabetes products that bring economic value to the diabetes testing market while delivering world-class training and educational support to those living with the disease. </w:t>
      </w:r>
      <w:proofErr w:type="spellStart"/>
      <w:r w:rsidRPr="005E3661">
        <w:rPr>
          <w:rFonts w:eastAsiaTheme="minorHAnsi"/>
        </w:rPr>
        <w:t>MediSure</w:t>
      </w:r>
      <w:r>
        <w:rPr>
          <w:rFonts w:eastAsiaTheme="minorHAnsi"/>
        </w:rPr>
        <w:t>’s</w:t>
      </w:r>
      <w:proofErr w:type="spellEnd"/>
      <w:r>
        <w:rPr>
          <w:rFonts w:eastAsiaTheme="minorHAnsi"/>
        </w:rPr>
        <w:t xml:space="preserve"> distribution channels primarily consist of pharmacies, distributors, correctional facilities and care homes.</w:t>
      </w:r>
      <w:r w:rsidRPr="005E3661">
        <w:rPr>
          <w:rFonts w:eastAsiaTheme="minorHAnsi"/>
        </w:rPr>
        <w:t xml:space="preserve"> </w:t>
      </w:r>
      <w:r>
        <w:rPr>
          <w:rFonts w:eastAsiaTheme="minorHAnsi"/>
        </w:rPr>
        <w:t>During fiscal 2021,</w:t>
      </w:r>
      <w:r w:rsidRPr="005E3661">
        <w:rPr>
          <w:rFonts w:eastAsiaTheme="minorHAnsi"/>
        </w:rPr>
        <w:t xml:space="preserve"> </w:t>
      </w:r>
      <w:proofErr w:type="spellStart"/>
      <w:r w:rsidRPr="005E3661">
        <w:rPr>
          <w:rFonts w:eastAsiaTheme="minorHAnsi"/>
        </w:rPr>
        <w:t>MediSure’s</w:t>
      </w:r>
      <w:proofErr w:type="spellEnd"/>
      <w:r w:rsidRPr="005E3661">
        <w:rPr>
          <w:rFonts w:eastAsiaTheme="minorHAnsi"/>
        </w:rPr>
        <w:t xml:space="preserve"> </w:t>
      </w:r>
      <w:r>
        <w:rPr>
          <w:rFonts w:eastAsiaTheme="minorHAnsi"/>
        </w:rPr>
        <w:t>product sales</w:t>
      </w:r>
      <w:r w:rsidRPr="005E3661">
        <w:rPr>
          <w:rFonts w:eastAsiaTheme="minorHAnsi"/>
        </w:rPr>
        <w:t xml:space="preserve"> include</w:t>
      </w:r>
      <w:r>
        <w:rPr>
          <w:rFonts w:eastAsiaTheme="minorHAnsi"/>
        </w:rPr>
        <w:t>d</w:t>
      </w:r>
      <w:r w:rsidRPr="005E3661">
        <w:rPr>
          <w:rFonts w:eastAsiaTheme="minorHAnsi"/>
        </w:rPr>
        <w:t xml:space="preserve"> diabetic glucose meters and blood sugar tests meeting all ISO standards.</w:t>
      </w:r>
      <w:r>
        <w:rPr>
          <w:rFonts w:eastAsiaTheme="minorHAnsi"/>
        </w:rPr>
        <w:t xml:space="preserve"> With a pipeline of broader product offerings, </w:t>
      </w:r>
      <w:r w:rsidRPr="005E3661">
        <w:rPr>
          <w:rFonts w:eastAsiaTheme="minorHAnsi"/>
        </w:rPr>
        <w:t xml:space="preserve">Management expects the acquisition </w:t>
      </w:r>
      <w:r>
        <w:rPr>
          <w:rFonts w:eastAsiaTheme="minorHAnsi"/>
        </w:rPr>
        <w:t>to</w:t>
      </w:r>
      <w:r w:rsidRPr="005E3661">
        <w:rPr>
          <w:rFonts w:eastAsiaTheme="minorHAnsi"/>
        </w:rPr>
        <w:t xml:space="preserve"> bolster </w:t>
      </w:r>
      <w:proofErr w:type="spellStart"/>
      <w:r w:rsidRPr="005E3661">
        <w:rPr>
          <w:rFonts w:eastAsiaTheme="minorHAnsi"/>
        </w:rPr>
        <w:t>Empower’s</w:t>
      </w:r>
      <w:proofErr w:type="spellEnd"/>
      <w:r w:rsidRPr="005E3661">
        <w:rPr>
          <w:rFonts w:eastAsiaTheme="minorHAnsi"/>
        </w:rPr>
        <w:t xml:space="preserve"> direct-to-consumer testing products initiative.</w:t>
      </w:r>
      <w:r>
        <w:rPr>
          <w:rFonts w:eastAsiaTheme="minorHAnsi"/>
        </w:rPr>
        <w:t xml:space="preserve"> </w:t>
      </w:r>
    </w:p>
    <w:p w14:paraId="7F19BEDA" w14:textId="1D63FA57" w:rsidR="00A24085" w:rsidRPr="002B483D" w:rsidRDefault="00A24085" w:rsidP="00B8542F">
      <w:pPr>
        <w:rPr>
          <w:rFonts w:eastAsiaTheme="minorHAnsi"/>
          <w:highlight w:val="yellow"/>
        </w:rPr>
      </w:pPr>
    </w:p>
    <w:p w14:paraId="25D4028F" w14:textId="77777777" w:rsidR="00754D62" w:rsidRDefault="00754D62" w:rsidP="00754D62">
      <w:pPr>
        <w:rPr>
          <w:lang w:val="en-US"/>
        </w:rPr>
      </w:pPr>
      <w:r w:rsidRPr="005E3661">
        <w:t>The Company continue</w:t>
      </w:r>
      <w:r>
        <w:t>s</w:t>
      </w:r>
      <w:r w:rsidRPr="005E3661">
        <w:t xml:space="preserve"> to be active and opportunistic with respect to mergers and acquisitions, with the goal of advancing its business plan and increase </w:t>
      </w:r>
      <w:r>
        <w:t>share</w:t>
      </w:r>
      <w:r w:rsidRPr="005E3661">
        <w:t xml:space="preserve">holder value where possible. </w:t>
      </w:r>
      <w:r>
        <w:t>T</w:t>
      </w:r>
      <w:r w:rsidRPr="005E3661">
        <w:t xml:space="preserve">he Company may seek to acquire third party channel partners to increase its patient base, </w:t>
      </w:r>
      <w:r>
        <w:t>profitability</w:t>
      </w:r>
      <w:r w:rsidRPr="005E3661">
        <w:t xml:space="preserve">, and to increase </w:t>
      </w:r>
      <w:r>
        <w:t>share</w:t>
      </w:r>
      <w:r w:rsidRPr="005E3661">
        <w:t xml:space="preserve">holder value through the </w:t>
      </w:r>
      <w:r>
        <w:t>effective utilization of its existing operations. Outlook for the Company’s existing operations is discussed below.</w:t>
      </w:r>
    </w:p>
    <w:p w14:paraId="5172EA43" w14:textId="77777777" w:rsidR="00754D62" w:rsidRDefault="00754D62" w:rsidP="00754D62">
      <w:pPr>
        <w:rPr>
          <w:lang w:val="en-US"/>
        </w:rPr>
      </w:pPr>
    </w:p>
    <w:p w14:paraId="4091DCAA" w14:textId="77777777" w:rsidR="00754D62" w:rsidRPr="00555FBE" w:rsidRDefault="00754D62" w:rsidP="00754D62">
      <w:pPr>
        <w:pStyle w:val="Heading2"/>
      </w:pPr>
      <w:r>
        <w:t>Empower Clinics</w:t>
      </w:r>
    </w:p>
    <w:p w14:paraId="36CB34CF" w14:textId="77777777" w:rsidR="00754D62" w:rsidRDefault="00754D62" w:rsidP="00754D62">
      <w:pPr>
        <w:rPr>
          <w:lang w:val="en-US"/>
        </w:rPr>
      </w:pPr>
    </w:p>
    <w:p w14:paraId="2CB5B4E1" w14:textId="77777777" w:rsidR="00754D62" w:rsidRDefault="00754D62" w:rsidP="00754D62">
      <w:pPr>
        <w:rPr>
          <w:lang w:val="en-US"/>
        </w:rPr>
      </w:pPr>
      <w:r>
        <w:rPr>
          <w:lang w:val="en-US"/>
        </w:rPr>
        <w:t xml:space="preserve">On April 5, 2022, Empower Clinics launched COVID-19 testing solutions for cruise travel passengers in Vancouver, Canada. From launch through to September 30, 2022, </w:t>
      </w:r>
      <w:proofErr w:type="gramStart"/>
      <w:r>
        <w:rPr>
          <w:lang w:val="en-US"/>
        </w:rPr>
        <w:t>Empower</w:t>
      </w:r>
      <w:proofErr w:type="gramEnd"/>
      <w:r>
        <w:rPr>
          <w:lang w:val="en-US"/>
        </w:rPr>
        <w:t xml:space="preserve"> delivered more than 18,000 COVID-19 tests comprised of both rapid antigen tests and RT</w:t>
      </w:r>
      <w:r w:rsidRPr="006B1BBF">
        <w:rPr>
          <w:lang w:val="en-US"/>
        </w:rPr>
        <w:t>-PCR tests. Cruise lines and tour operators were among the repeat customers which contributed to the high volume of tests performed over the course of the operating season.</w:t>
      </w:r>
      <w:r>
        <w:rPr>
          <w:lang w:val="en-US"/>
        </w:rPr>
        <w:t xml:space="preserve"> </w:t>
      </w:r>
    </w:p>
    <w:p w14:paraId="51E8E0BF" w14:textId="77777777" w:rsidR="00754D62" w:rsidRDefault="00754D62" w:rsidP="00754D62">
      <w:pPr>
        <w:spacing w:after="160" w:line="259" w:lineRule="auto"/>
        <w:jc w:val="left"/>
        <w:rPr>
          <w:lang w:val="en-US"/>
        </w:rPr>
      </w:pPr>
      <w:r>
        <w:rPr>
          <w:lang w:val="en-US"/>
        </w:rPr>
        <w:br w:type="page"/>
      </w:r>
    </w:p>
    <w:p w14:paraId="6E02E463" w14:textId="77777777" w:rsidR="00754D62" w:rsidRPr="00B8542F" w:rsidRDefault="00754D62" w:rsidP="00754D62">
      <w:pPr>
        <w:pStyle w:val="Heading2"/>
      </w:pPr>
      <w:r w:rsidRPr="00B8542F">
        <w:lastRenderedPageBreak/>
        <w:t>The Medi-Collective</w:t>
      </w:r>
    </w:p>
    <w:p w14:paraId="0000A47A" w14:textId="77777777" w:rsidR="00754D62" w:rsidRDefault="00754D62" w:rsidP="00754D62">
      <w:pPr>
        <w:rPr>
          <w:lang w:val="en-US"/>
        </w:rPr>
      </w:pPr>
    </w:p>
    <w:p w14:paraId="33B28F33" w14:textId="77777777" w:rsidR="00754D62" w:rsidRDefault="00754D62" w:rsidP="00754D62">
      <w:pPr>
        <w:rPr>
          <w:lang w:val="en-US"/>
        </w:rPr>
      </w:pPr>
      <w:r>
        <w:rPr>
          <w:lang w:val="en-US"/>
        </w:rPr>
        <w:t xml:space="preserve">The Company working to leverage its integrated clinic offering of products and services to market and sell other Empower offerings such as </w:t>
      </w:r>
      <w:proofErr w:type="spellStart"/>
      <w:r w:rsidRPr="0042764B">
        <w:rPr>
          <w:lang w:val="en-US"/>
        </w:rPr>
        <w:t>MediSure</w:t>
      </w:r>
      <w:r>
        <w:rPr>
          <w:lang w:val="en-US"/>
        </w:rPr>
        <w:t>’s</w:t>
      </w:r>
      <w:proofErr w:type="spellEnd"/>
      <w:r w:rsidRPr="0042764B">
        <w:rPr>
          <w:lang w:val="en-US"/>
        </w:rPr>
        <w:t xml:space="preserve"> diabet</w:t>
      </w:r>
      <w:r>
        <w:rPr>
          <w:lang w:val="en-US"/>
        </w:rPr>
        <w:t>es</w:t>
      </w:r>
      <w:r w:rsidRPr="0042764B">
        <w:rPr>
          <w:lang w:val="en-US"/>
        </w:rPr>
        <w:t xml:space="preserve"> management solutions</w:t>
      </w:r>
      <w:r>
        <w:rPr>
          <w:lang w:val="en-US"/>
        </w:rPr>
        <w:t xml:space="preserve"> and Vitamin D test kits</w:t>
      </w:r>
      <w:r w:rsidRPr="0042764B">
        <w:rPr>
          <w:lang w:val="en-US"/>
        </w:rPr>
        <w:t xml:space="preserve"> to existing and incoming </w:t>
      </w:r>
      <w:r>
        <w:rPr>
          <w:lang w:val="en-US"/>
        </w:rPr>
        <w:t>TMC clients</w:t>
      </w:r>
      <w:r w:rsidRPr="0042764B">
        <w:rPr>
          <w:lang w:val="en-US"/>
        </w:rPr>
        <w:t>.</w:t>
      </w:r>
      <w:r>
        <w:rPr>
          <w:lang w:val="en-US"/>
        </w:rPr>
        <w:t xml:space="preserve"> </w:t>
      </w:r>
      <w:r w:rsidRPr="006C30DE">
        <w:rPr>
          <w:lang w:val="en-US"/>
        </w:rPr>
        <w:t xml:space="preserve"> </w:t>
      </w:r>
      <w:r>
        <w:rPr>
          <w:lang w:val="en-US"/>
        </w:rPr>
        <w:t xml:space="preserve">Management is committed to providing shareholder value and conducts regular operational reviews to ensure efficient and profitable operations. A recent operational review resulted in management’s decision to close two underperforming clinic locations. This decision allows the Company to direct its resources to more profitable and viable clinic locations. In fiscal 2022 and beyond, the Company will seek to improve the profitability of its existing clinics while exploring additional clinic opportunities. </w:t>
      </w:r>
    </w:p>
    <w:p w14:paraId="642C57D1" w14:textId="77777777" w:rsidR="00754D62" w:rsidRDefault="00754D62" w:rsidP="00754D62">
      <w:pPr>
        <w:rPr>
          <w:lang w:val="en-US"/>
        </w:rPr>
      </w:pPr>
    </w:p>
    <w:p w14:paraId="1431CEB6" w14:textId="77777777" w:rsidR="00754D62" w:rsidRPr="00B8542F" w:rsidRDefault="00754D62" w:rsidP="00754D62">
      <w:pPr>
        <w:pStyle w:val="Heading2"/>
        <w:rPr>
          <w:sz w:val="18"/>
          <w:szCs w:val="18"/>
          <w:lang w:val="en-US"/>
        </w:rPr>
      </w:pPr>
      <w:proofErr w:type="spellStart"/>
      <w:r>
        <w:t>MediSure</w:t>
      </w:r>
      <w:proofErr w:type="spellEnd"/>
      <w:r>
        <w:t xml:space="preserve"> Laboratory (formerly Kai Medical Laboratory) </w:t>
      </w:r>
    </w:p>
    <w:p w14:paraId="55D3D12A" w14:textId="77777777" w:rsidR="00754D62" w:rsidRDefault="00754D62" w:rsidP="00754D62">
      <w:pPr>
        <w:rPr>
          <w:lang w:val="en-US"/>
        </w:rPr>
      </w:pPr>
    </w:p>
    <w:p w14:paraId="3A0C292D" w14:textId="77777777" w:rsidR="00754D62" w:rsidRDefault="00754D62" w:rsidP="00754D62">
      <w:pPr>
        <w:rPr>
          <w:lang w:val="en-US"/>
        </w:rPr>
      </w:pPr>
      <w:r>
        <w:rPr>
          <w:lang w:val="en-US"/>
        </w:rPr>
        <w:t xml:space="preserve">On June 20, 2022, the Company announced that it had completed the rebranding of Kai Medical Laboratory to </w:t>
      </w:r>
      <w:proofErr w:type="spellStart"/>
      <w:r>
        <w:rPr>
          <w:lang w:val="en-US"/>
        </w:rPr>
        <w:t>MediSure</w:t>
      </w:r>
      <w:proofErr w:type="spellEnd"/>
      <w:r>
        <w:rPr>
          <w:lang w:val="en-US"/>
        </w:rPr>
        <w:t xml:space="preserve"> Laboratory, providing a harmonized brand for the Company’s medical diagnostics and laboratory testing across the U.S. and Canada.</w:t>
      </w:r>
    </w:p>
    <w:p w14:paraId="7F9472EB" w14:textId="77777777" w:rsidR="00754D62" w:rsidRDefault="00754D62" w:rsidP="00754D62">
      <w:pPr>
        <w:rPr>
          <w:lang w:val="en-US"/>
        </w:rPr>
      </w:pPr>
    </w:p>
    <w:p w14:paraId="7D099DD3" w14:textId="77777777" w:rsidR="00754D62" w:rsidRDefault="00754D62" w:rsidP="00754D62">
      <w:pPr>
        <w:rPr>
          <w:lang w:val="en-US"/>
        </w:rPr>
      </w:pPr>
      <w:proofErr w:type="spellStart"/>
      <w:r>
        <w:rPr>
          <w:lang w:val="en-US"/>
        </w:rPr>
        <w:t>MediSure</w:t>
      </w:r>
      <w:proofErr w:type="spellEnd"/>
      <w:r>
        <w:rPr>
          <w:lang w:val="en-US"/>
        </w:rPr>
        <w:t xml:space="preserve"> Laboratory is an accredited laboratory consisting of experienced scientists, medical professionals and staff providing reliable testing solutions to the healthcare community and employer groups while having an unwavering commitment to quality and scientific innovations. </w:t>
      </w:r>
      <w:proofErr w:type="spellStart"/>
      <w:r>
        <w:rPr>
          <w:lang w:val="en-US"/>
        </w:rPr>
        <w:t>MediSure</w:t>
      </w:r>
      <w:proofErr w:type="spellEnd"/>
      <w:r>
        <w:rPr>
          <w:lang w:val="en-US"/>
        </w:rPr>
        <w:t xml:space="preserve"> Laboratory also sells direct-to-consumer testing solutions for self-administration (COVID-19 rapid antigen testing), providing a convenient means for monitoring and improving consumers’ health. </w:t>
      </w:r>
    </w:p>
    <w:p w14:paraId="74F89C9D" w14:textId="77777777" w:rsidR="00754D62" w:rsidRDefault="00754D62" w:rsidP="00754D62">
      <w:pPr>
        <w:rPr>
          <w:lang w:val="en-US"/>
        </w:rPr>
      </w:pPr>
    </w:p>
    <w:p w14:paraId="009D21B5" w14:textId="77777777" w:rsidR="00754D62" w:rsidRDefault="00754D62" w:rsidP="00754D62">
      <w:pPr>
        <w:rPr>
          <w:lang w:val="en-US"/>
        </w:rPr>
      </w:pPr>
      <w:proofErr w:type="spellStart"/>
      <w:r>
        <w:rPr>
          <w:lang w:val="en-US"/>
        </w:rPr>
        <w:t>MediSure</w:t>
      </w:r>
      <w:proofErr w:type="spellEnd"/>
      <w:r>
        <w:rPr>
          <w:lang w:val="en-US"/>
        </w:rPr>
        <w:t xml:space="preserve"> Laboratory offers services in the state of Texas, and surrounding states supporting the testing needs for commercial accounts and consumers. Immediate plans include expansion of </w:t>
      </w:r>
      <w:proofErr w:type="spellStart"/>
      <w:r>
        <w:rPr>
          <w:lang w:val="en-US"/>
        </w:rPr>
        <w:t>MediSure</w:t>
      </w:r>
      <w:proofErr w:type="spellEnd"/>
      <w:r>
        <w:rPr>
          <w:lang w:val="en-US"/>
        </w:rPr>
        <w:t xml:space="preserve"> Laboratory’s specimen processing programs that include wellness panels, molecular testing, and the development of at-home self-administered test protocols.</w:t>
      </w:r>
    </w:p>
    <w:p w14:paraId="2722DB2C" w14:textId="77777777" w:rsidR="00754D62" w:rsidRDefault="00754D62" w:rsidP="00754D62">
      <w:pPr>
        <w:rPr>
          <w:lang w:val="en-US"/>
        </w:rPr>
      </w:pPr>
    </w:p>
    <w:p w14:paraId="7F3EE639" w14:textId="77777777" w:rsidR="00754D62" w:rsidRDefault="00754D62" w:rsidP="00754D62">
      <w:pPr>
        <w:rPr>
          <w:lang w:val="en-US"/>
        </w:rPr>
      </w:pPr>
      <w:r>
        <w:rPr>
          <w:lang w:val="en-US"/>
        </w:rPr>
        <w:t xml:space="preserve">In fiscal 2022, </w:t>
      </w:r>
      <w:proofErr w:type="spellStart"/>
      <w:r>
        <w:rPr>
          <w:lang w:val="en-US"/>
        </w:rPr>
        <w:t>MediSure</w:t>
      </w:r>
      <w:proofErr w:type="spellEnd"/>
      <w:r>
        <w:rPr>
          <w:lang w:val="en-US"/>
        </w:rPr>
        <w:t xml:space="preserve"> Laboratory is commencing the process of applying for additional U.S. Federal Drug and Administration certifications for the sales of additional medical devices in the United States. Once certifications have been obtained, the Company anticipates that sales from new medical devices such as blood glucose monitors, and hormone and vitamin testing, will bolster revenue in the U.S. </w:t>
      </w:r>
      <w:proofErr w:type="spellStart"/>
      <w:r>
        <w:rPr>
          <w:lang w:val="en-US"/>
        </w:rPr>
        <w:t>MediSure</w:t>
      </w:r>
      <w:proofErr w:type="spellEnd"/>
      <w:r>
        <w:rPr>
          <w:lang w:val="en-US"/>
        </w:rPr>
        <w:t xml:space="preserve"> Laboratory is also engaged in research and development of further diagnostic solutions. </w:t>
      </w:r>
    </w:p>
    <w:p w14:paraId="2B1309BD" w14:textId="77777777" w:rsidR="00754D62" w:rsidRDefault="00754D62" w:rsidP="00754D62">
      <w:pPr>
        <w:rPr>
          <w:lang w:val="en-US"/>
        </w:rPr>
      </w:pPr>
    </w:p>
    <w:p w14:paraId="14695E9F" w14:textId="77777777" w:rsidR="00754D62" w:rsidRPr="00B8542F" w:rsidRDefault="00754D62" w:rsidP="00754D62">
      <w:pPr>
        <w:pStyle w:val="Heading2"/>
      </w:pPr>
      <w:proofErr w:type="spellStart"/>
      <w:r w:rsidRPr="00B8542F">
        <w:t>MediSure</w:t>
      </w:r>
      <w:proofErr w:type="spellEnd"/>
      <w:r>
        <w:t xml:space="preserve"> Canada</w:t>
      </w:r>
    </w:p>
    <w:p w14:paraId="295FADC3" w14:textId="77777777" w:rsidR="00754D62" w:rsidRDefault="00754D62" w:rsidP="00754D62"/>
    <w:p w14:paraId="5699EDED" w14:textId="77777777" w:rsidR="00754D62" w:rsidRDefault="00754D62" w:rsidP="00754D62">
      <w:pPr>
        <w:spacing w:after="160" w:line="259" w:lineRule="auto"/>
      </w:pPr>
      <w:r>
        <w:t xml:space="preserve">On April 25, 2022, </w:t>
      </w:r>
      <w:proofErr w:type="spellStart"/>
      <w:r>
        <w:t>MediSure</w:t>
      </w:r>
      <w:proofErr w:type="spellEnd"/>
      <w:r>
        <w:t xml:space="preserve">, launched the at-home Vitamin D test kit, approved by Health Canada under the </w:t>
      </w:r>
      <w:proofErr w:type="spellStart"/>
      <w:r>
        <w:t>MediSure</w:t>
      </w:r>
      <w:proofErr w:type="spellEnd"/>
      <w:r>
        <w:t xml:space="preserve"> brand. Vitamin D deficiency affects roughly 10% of Canadians and can contribute to adverse health effects. </w:t>
      </w:r>
      <w:proofErr w:type="spellStart"/>
      <w:r>
        <w:t>MediSure</w:t>
      </w:r>
      <w:proofErr w:type="spellEnd"/>
      <w:r>
        <w:t xml:space="preserve"> Vitamin D test kits provide consumers with the ability to monitor their vitamin D levels at home without a medical professional and are available directly to consumers and the healthcare community. As of the date of this MD&amp;A, the Company had shipped 25,000 units of its Vitamin D test kits to its network of partnered pharmacies, wholesalers, and distributors. The Company anticipates sales and revenue will continue to increase in late 2022 and beyond.</w:t>
      </w:r>
    </w:p>
    <w:p w14:paraId="6A498000" w14:textId="77777777" w:rsidR="00754D62" w:rsidRDefault="00754D62" w:rsidP="00754D62">
      <w:pPr>
        <w:spacing w:after="160" w:line="259" w:lineRule="auto"/>
      </w:pPr>
      <w:r>
        <w:t xml:space="preserve">On July 12, 2022, the Company, through its subsidiary </w:t>
      </w:r>
      <w:proofErr w:type="spellStart"/>
      <w:r>
        <w:t>MediSure</w:t>
      </w:r>
      <w:proofErr w:type="spellEnd"/>
      <w:r>
        <w:t xml:space="preserve">, launched its latest product innovation, </w:t>
      </w:r>
      <w:proofErr w:type="spellStart"/>
      <w:r>
        <w:t>MediSure</w:t>
      </w:r>
      <w:proofErr w:type="spellEnd"/>
      <w:r>
        <w:t xml:space="preserve"> Empower Blood Glucose Monitor (BGM). The BGM requires a smaller blood sample size than other blood glucose monitors, allowing for alternative sampling sites other than fingers. It utilizes test strips with improved accuracy, delivers results in less than six seconds and has Bluetooth connectivity so that results can be maintained on a smartphone or tablet. Through the BGM, </w:t>
      </w:r>
      <w:proofErr w:type="spellStart"/>
      <w:r>
        <w:t>MediSure</w:t>
      </w:r>
      <w:proofErr w:type="spellEnd"/>
      <w:r>
        <w:t xml:space="preserve"> is fulfilling its mission of providing affordable, high-quality diabetic management products to all Canadians. The BGM is available for sale through the </w:t>
      </w:r>
      <w:proofErr w:type="spellStart"/>
      <w:r>
        <w:t>MediSure</w:t>
      </w:r>
      <w:proofErr w:type="spellEnd"/>
      <w:r>
        <w:t xml:space="preserve"> website and in select pharmacies.</w:t>
      </w:r>
    </w:p>
    <w:p w14:paraId="20C07737" w14:textId="77777777" w:rsidR="00754D62" w:rsidRDefault="00754D62" w:rsidP="00754D62">
      <w:pPr>
        <w:spacing w:after="160" w:line="259" w:lineRule="auto"/>
      </w:pPr>
      <w:proofErr w:type="spellStart"/>
      <w:r w:rsidRPr="003B4A65">
        <w:t>MediSure</w:t>
      </w:r>
      <w:proofErr w:type="spellEnd"/>
      <w:r w:rsidRPr="003B4A65">
        <w:t xml:space="preserve"> has entered into </w:t>
      </w:r>
      <w:r>
        <w:t xml:space="preserve">a </w:t>
      </w:r>
      <w:r w:rsidRPr="003B4A65">
        <w:t xml:space="preserve">standing offer agreement with Public Works and Government Services Canada </w:t>
      </w:r>
      <w:r>
        <w:t>to</w:t>
      </w:r>
      <w:r w:rsidRPr="003B4A65">
        <w:t xml:space="preserve"> provid</w:t>
      </w:r>
      <w:r>
        <w:t>e</w:t>
      </w:r>
      <w:r w:rsidRPr="003B4A65">
        <w:t xml:space="preserve"> diabetic testing supplies and glucometers. As of the date of </w:t>
      </w:r>
      <w:r>
        <w:t xml:space="preserve">this </w:t>
      </w:r>
      <w:r w:rsidRPr="003B4A65">
        <w:t>MD&amp;A</w:t>
      </w:r>
      <w:r>
        <w:t>,</w:t>
      </w:r>
      <w:r w:rsidRPr="003B4A65">
        <w:t xml:space="preserve"> the Company has generated sales of approximately $91,000 and anticipates further growth from this agreement going forward</w:t>
      </w:r>
      <w:r>
        <w:t>.</w:t>
      </w:r>
    </w:p>
    <w:p w14:paraId="55154D44" w14:textId="77777777" w:rsidR="003B4A65" w:rsidRDefault="003B4A65">
      <w:pPr>
        <w:spacing w:after="160" w:line="259" w:lineRule="auto"/>
        <w:jc w:val="left"/>
      </w:pPr>
      <w:r>
        <w:br w:type="page"/>
      </w:r>
    </w:p>
    <w:p w14:paraId="554E7565" w14:textId="52294609" w:rsidR="0058133D" w:rsidRDefault="0058133D" w:rsidP="00327130">
      <w:pPr>
        <w:pStyle w:val="Heading1"/>
      </w:pPr>
      <w:r w:rsidRPr="0058133D">
        <w:lastRenderedPageBreak/>
        <w:t>Financial Highlights</w:t>
      </w:r>
    </w:p>
    <w:p w14:paraId="75792A5B" w14:textId="445AEBDB" w:rsidR="00B13027" w:rsidRDefault="00B13027"/>
    <w:p w14:paraId="45828684" w14:textId="4C352949" w:rsidR="003124DE" w:rsidRPr="00B8312E" w:rsidRDefault="003124DE" w:rsidP="003124DE">
      <w:r w:rsidRPr="00B8312E">
        <w:t>The following table presents select</w:t>
      </w:r>
      <w:r w:rsidR="00340BE2">
        <w:t>ed</w:t>
      </w:r>
      <w:r w:rsidRPr="00B8312E">
        <w:t xml:space="preserve"> financial highlights from the</w:t>
      </w:r>
      <w:r>
        <w:t xml:space="preserve"> results of operations for</w:t>
      </w:r>
      <w:r w:rsidRPr="00B8312E">
        <w:t xml:space="preserve"> </w:t>
      </w:r>
      <w:r>
        <w:t xml:space="preserve">the </w:t>
      </w:r>
      <w:r w:rsidR="00843C8F">
        <w:t>three months</w:t>
      </w:r>
      <w:r>
        <w:t xml:space="preserve"> ended </w:t>
      </w:r>
      <w:r w:rsidR="00843C8F">
        <w:t>March 31</w:t>
      </w:r>
      <w:r>
        <w:t xml:space="preserve">, </w:t>
      </w:r>
      <w:proofErr w:type="gramStart"/>
      <w:r>
        <w:t>202</w:t>
      </w:r>
      <w:r w:rsidR="00843C8F">
        <w:t>2</w:t>
      </w:r>
      <w:proofErr w:type="gramEnd"/>
      <w:r>
        <w:t xml:space="preserve"> and 20</w:t>
      </w:r>
      <w:r w:rsidR="00843C8F">
        <w:t>21</w:t>
      </w:r>
      <w:r>
        <w:t>.</w:t>
      </w:r>
    </w:p>
    <w:p w14:paraId="6322E0B2" w14:textId="471B8B3C" w:rsidR="008A542D" w:rsidRDefault="008A542D"/>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2"/>
        <w:gridCol w:w="1473"/>
        <w:gridCol w:w="1473"/>
      </w:tblGrid>
      <w:tr w:rsidR="0063196D" w:rsidRPr="005E3661" w14:paraId="154810BA" w14:textId="77777777" w:rsidTr="00170494">
        <w:trPr>
          <w:trHeight w:val="20"/>
        </w:trPr>
        <w:tc>
          <w:tcPr>
            <w:tcW w:w="3426" w:type="pct"/>
            <w:tcBorders>
              <w:top w:val="single" w:sz="4" w:space="0" w:color="auto"/>
              <w:bottom w:val="single" w:sz="12" w:space="0" w:color="auto"/>
            </w:tcBorders>
          </w:tcPr>
          <w:p w14:paraId="64DBFDAE" w14:textId="77777777" w:rsidR="0063196D" w:rsidRPr="005E3661" w:rsidRDefault="0063196D" w:rsidP="00F640AD"/>
        </w:tc>
        <w:tc>
          <w:tcPr>
            <w:tcW w:w="787" w:type="pct"/>
            <w:tcBorders>
              <w:top w:val="single" w:sz="4" w:space="0" w:color="auto"/>
              <w:bottom w:val="single" w:sz="12" w:space="0" w:color="auto"/>
            </w:tcBorders>
            <w:vAlign w:val="bottom"/>
          </w:tcPr>
          <w:p w14:paraId="669FFA9D" w14:textId="2C146A54" w:rsidR="0063196D" w:rsidRPr="00787AD1" w:rsidRDefault="00461BC7" w:rsidP="00F640AD">
            <w:pPr>
              <w:jc w:val="right"/>
              <w:rPr>
                <w:b/>
                <w:bCs/>
              </w:rPr>
            </w:pPr>
            <w:r>
              <w:rPr>
                <w:b/>
                <w:bCs/>
              </w:rPr>
              <w:t>2022</w:t>
            </w:r>
          </w:p>
        </w:tc>
        <w:tc>
          <w:tcPr>
            <w:tcW w:w="787" w:type="pct"/>
            <w:tcBorders>
              <w:top w:val="single" w:sz="4" w:space="0" w:color="auto"/>
              <w:bottom w:val="single" w:sz="12" w:space="0" w:color="auto"/>
            </w:tcBorders>
            <w:vAlign w:val="bottom"/>
          </w:tcPr>
          <w:p w14:paraId="225E4349" w14:textId="1A0EAFD8" w:rsidR="0063196D" w:rsidRPr="00787AD1" w:rsidRDefault="00461BC7" w:rsidP="00F640AD">
            <w:pPr>
              <w:jc w:val="right"/>
            </w:pPr>
            <w:r>
              <w:t>2021</w:t>
            </w:r>
          </w:p>
        </w:tc>
      </w:tr>
      <w:tr w:rsidR="0063196D" w:rsidRPr="005E3661" w14:paraId="314734BF" w14:textId="77777777" w:rsidTr="00170494">
        <w:trPr>
          <w:trHeight w:val="20"/>
        </w:trPr>
        <w:tc>
          <w:tcPr>
            <w:tcW w:w="3426" w:type="pct"/>
            <w:tcBorders>
              <w:top w:val="single" w:sz="12" w:space="0" w:color="auto"/>
            </w:tcBorders>
          </w:tcPr>
          <w:p w14:paraId="4AB19476" w14:textId="77777777" w:rsidR="0063196D" w:rsidRPr="005E3661" w:rsidRDefault="0063196D" w:rsidP="00F640AD"/>
        </w:tc>
        <w:tc>
          <w:tcPr>
            <w:tcW w:w="787" w:type="pct"/>
            <w:tcBorders>
              <w:top w:val="single" w:sz="12" w:space="0" w:color="auto"/>
            </w:tcBorders>
            <w:vAlign w:val="bottom"/>
          </w:tcPr>
          <w:p w14:paraId="199959E5" w14:textId="77777777" w:rsidR="0063196D" w:rsidRPr="00787AD1" w:rsidRDefault="0063196D" w:rsidP="00F640AD">
            <w:pPr>
              <w:jc w:val="right"/>
            </w:pPr>
            <w:r w:rsidRPr="00787AD1">
              <w:rPr>
                <w:b/>
                <w:bCs/>
              </w:rPr>
              <w:t>$</w:t>
            </w:r>
          </w:p>
        </w:tc>
        <w:tc>
          <w:tcPr>
            <w:tcW w:w="787" w:type="pct"/>
            <w:tcBorders>
              <w:top w:val="single" w:sz="12" w:space="0" w:color="auto"/>
            </w:tcBorders>
            <w:vAlign w:val="bottom"/>
          </w:tcPr>
          <w:p w14:paraId="2B1A76AA" w14:textId="77777777" w:rsidR="0063196D" w:rsidRPr="005E3661" w:rsidRDefault="0063196D" w:rsidP="00F640AD">
            <w:pPr>
              <w:jc w:val="right"/>
            </w:pPr>
            <w:r w:rsidRPr="00787AD1">
              <w:t>$</w:t>
            </w:r>
          </w:p>
        </w:tc>
      </w:tr>
      <w:tr w:rsidR="00AD2080" w:rsidRPr="005E3661" w14:paraId="6E6BB11A" w14:textId="77777777" w:rsidTr="00F24933">
        <w:trPr>
          <w:trHeight w:val="20"/>
        </w:trPr>
        <w:tc>
          <w:tcPr>
            <w:tcW w:w="3426" w:type="pct"/>
            <w:vAlign w:val="bottom"/>
          </w:tcPr>
          <w:p w14:paraId="13BF46D3" w14:textId="28DA0A46" w:rsidR="00AD2080" w:rsidRPr="005E3661" w:rsidRDefault="00AD2080" w:rsidP="00AD2080">
            <w:pPr>
              <w:ind w:left="179" w:hanging="179"/>
              <w:jc w:val="left"/>
            </w:pPr>
            <w:r>
              <w:t>Total revenue</w:t>
            </w:r>
          </w:p>
        </w:tc>
        <w:tc>
          <w:tcPr>
            <w:tcW w:w="787" w:type="pct"/>
            <w:vAlign w:val="bottom"/>
          </w:tcPr>
          <w:p w14:paraId="2C0CD26A" w14:textId="669AC01E" w:rsidR="00AD2080" w:rsidRPr="00787AD1" w:rsidRDefault="00AD2080" w:rsidP="00AD2080">
            <w:pPr>
              <w:jc w:val="right"/>
              <w:rPr>
                <w:highlight w:val="yellow"/>
              </w:rPr>
            </w:pPr>
            <w:r>
              <w:rPr>
                <w:b/>
                <w:bCs/>
                <w:color w:val="000000"/>
              </w:rPr>
              <w:t>1,106,950</w:t>
            </w:r>
          </w:p>
        </w:tc>
        <w:tc>
          <w:tcPr>
            <w:tcW w:w="787" w:type="pct"/>
            <w:vAlign w:val="bottom"/>
          </w:tcPr>
          <w:p w14:paraId="02F0E41C" w14:textId="043CFA06" w:rsidR="00AD2080" w:rsidRPr="00EB34CF" w:rsidRDefault="00AD2080" w:rsidP="00AD2080">
            <w:pPr>
              <w:jc w:val="right"/>
            </w:pPr>
            <w:r>
              <w:rPr>
                <w:color w:val="000000"/>
              </w:rPr>
              <w:t>1,958,802</w:t>
            </w:r>
          </w:p>
        </w:tc>
      </w:tr>
      <w:tr w:rsidR="00AD2080" w:rsidRPr="005E3661" w14:paraId="6ED0277A" w14:textId="77777777" w:rsidTr="00F24933">
        <w:trPr>
          <w:trHeight w:val="20"/>
        </w:trPr>
        <w:tc>
          <w:tcPr>
            <w:tcW w:w="3426" w:type="pct"/>
            <w:vAlign w:val="bottom"/>
          </w:tcPr>
          <w:p w14:paraId="347635B9" w14:textId="06607D55" w:rsidR="00AD2080" w:rsidRPr="005E3661" w:rsidRDefault="00AD2080" w:rsidP="00AD2080">
            <w:pPr>
              <w:jc w:val="left"/>
              <w:rPr>
                <w:rFonts w:eastAsia="SimSun"/>
                <w:lang w:eastAsia="zh-CN"/>
              </w:rPr>
            </w:pPr>
          </w:p>
        </w:tc>
        <w:tc>
          <w:tcPr>
            <w:tcW w:w="787" w:type="pct"/>
            <w:vAlign w:val="bottom"/>
          </w:tcPr>
          <w:p w14:paraId="35F7CDC1" w14:textId="637A774F" w:rsidR="00AD2080" w:rsidRPr="00787AD1" w:rsidRDefault="00AD2080" w:rsidP="00AD2080">
            <w:pPr>
              <w:jc w:val="right"/>
            </w:pPr>
          </w:p>
        </w:tc>
        <w:tc>
          <w:tcPr>
            <w:tcW w:w="787" w:type="pct"/>
            <w:vAlign w:val="bottom"/>
          </w:tcPr>
          <w:p w14:paraId="7E9D2CE4" w14:textId="2C3E0CB6" w:rsidR="00AD2080" w:rsidRPr="00EB34CF" w:rsidRDefault="00AD2080" w:rsidP="00AD2080">
            <w:pPr>
              <w:jc w:val="right"/>
            </w:pPr>
          </w:p>
        </w:tc>
      </w:tr>
      <w:tr w:rsidR="00AD2080" w:rsidRPr="005E3661" w14:paraId="16502A8A" w14:textId="77777777" w:rsidTr="00F24933">
        <w:trPr>
          <w:trHeight w:val="20"/>
        </w:trPr>
        <w:tc>
          <w:tcPr>
            <w:tcW w:w="3426" w:type="pct"/>
            <w:vAlign w:val="bottom"/>
          </w:tcPr>
          <w:p w14:paraId="42876EE1" w14:textId="307CAF40" w:rsidR="00AD2080" w:rsidRPr="005E3661" w:rsidRDefault="00AD2080" w:rsidP="00AD2080">
            <w:pPr>
              <w:rPr>
                <w:rFonts w:eastAsia="SimSun"/>
                <w:lang w:eastAsia="zh-CN"/>
              </w:rPr>
            </w:pPr>
            <w:r>
              <w:rPr>
                <w:rFonts w:eastAsia="SimSun"/>
                <w:lang w:eastAsia="zh-CN"/>
              </w:rPr>
              <w:t>Gross margin</w:t>
            </w:r>
          </w:p>
        </w:tc>
        <w:tc>
          <w:tcPr>
            <w:tcW w:w="787" w:type="pct"/>
            <w:vAlign w:val="bottom"/>
          </w:tcPr>
          <w:p w14:paraId="60B57571" w14:textId="6D83A487" w:rsidR="00AD2080" w:rsidRPr="00787AD1" w:rsidRDefault="00AD2080" w:rsidP="00AD2080">
            <w:pPr>
              <w:jc w:val="right"/>
            </w:pPr>
            <w:r>
              <w:rPr>
                <w:b/>
                <w:bCs/>
                <w:color w:val="000000"/>
              </w:rPr>
              <w:t>234,871</w:t>
            </w:r>
          </w:p>
        </w:tc>
        <w:tc>
          <w:tcPr>
            <w:tcW w:w="787" w:type="pct"/>
            <w:vAlign w:val="bottom"/>
          </w:tcPr>
          <w:p w14:paraId="2C6769BC" w14:textId="1AF6205F" w:rsidR="00AD2080" w:rsidRPr="00EB34CF" w:rsidRDefault="00AD2080" w:rsidP="00AD2080">
            <w:pPr>
              <w:jc w:val="right"/>
            </w:pPr>
            <w:r>
              <w:rPr>
                <w:color w:val="000000"/>
              </w:rPr>
              <w:t>1,216,435</w:t>
            </w:r>
          </w:p>
        </w:tc>
      </w:tr>
      <w:tr w:rsidR="00AD2080" w:rsidRPr="005E3661" w14:paraId="21FBE052" w14:textId="77777777" w:rsidTr="00F24933">
        <w:trPr>
          <w:trHeight w:val="20"/>
        </w:trPr>
        <w:tc>
          <w:tcPr>
            <w:tcW w:w="3426" w:type="pct"/>
            <w:vAlign w:val="bottom"/>
          </w:tcPr>
          <w:p w14:paraId="1C7CB06C" w14:textId="3EB4DA67" w:rsidR="00AD2080" w:rsidRPr="005E3661" w:rsidRDefault="00AD2080" w:rsidP="00AD2080">
            <w:pPr>
              <w:rPr>
                <w:rFonts w:eastAsia="SimSun"/>
                <w:lang w:eastAsia="zh-CN"/>
              </w:rPr>
            </w:pPr>
          </w:p>
        </w:tc>
        <w:tc>
          <w:tcPr>
            <w:tcW w:w="787" w:type="pct"/>
            <w:vAlign w:val="bottom"/>
          </w:tcPr>
          <w:p w14:paraId="7688F33A" w14:textId="6E411C03" w:rsidR="00AD2080" w:rsidRPr="00787AD1" w:rsidRDefault="00AD2080" w:rsidP="00AD2080">
            <w:pPr>
              <w:jc w:val="right"/>
            </w:pPr>
          </w:p>
        </w:tc>
        <w:tc>
          <w:tcPr>
            <w:tcW w:w="787" w:type="pct"/>
            <w:vAlign w:val="bottom"/>
          </w:tcPr>
          <w:p w14:paraId="7EE7E9A8" w14:textId="6C3FFFB1" w:rsidR="00AD2080" w:rsidRPr="00EB34CF" w:rsidRDefault="00AD2080" w:rsidP="00AD2080">
            <w:pPr>
              <w:jc w:val="right"/>
            </w:pPr>
          </w:p>
        </w:tc>
      </w:tr>
      <w:tr w:rsidR="00AD2080" w:rsidRPr="005E3661" w14:paraId="176B8F55" w14:textId="77777777" w:rsidTr="00F24933">
        <w:trPr>
          <w:trHeight w:val="20"/>
        </w:trPr>
        <w:tc>
          <w:tcPr>
            <w:tcW w:w="3426" w:type="pct"/>
            <w:vAlign w:val="bottom"/>
          </w:tcPr>
          <w:p w14:paraId="56D9813B" w14:textId="54A1A2E5" w:rsidR="00AD2080" w:rsidRPr="005E3661" w:rsidRDefault="00AD2080" w:rsidP="00AD2080">
            <w:pPr>
              <w:rPr>
                <w:rFonts w:eastAsia="SimSun"/>
                <w:lang w:eastAsia="zh-CN"/>
              </w:rPr>
            </w:pPr>
            <w:r>
              <w:rPr>
                <w:rFonts w:eastAsia="SimSun"/>
                <w:lang w:eastAsia="zh-CN"/>
              </w:rPr>
              <w:t>Loss from continuing operations</w:t>
            </w:r>
          </w:p>
        </w:tc>
        <w:tc>
          <w:tcPr>
            <w:tcW w:w="787" w:type="pct"/>
            <w:vAlign w:val="bottom"/>
          </w:tcPr>
          <w:p w14:paraId="713F8D4C" w14:textId="160BE39C" w:rsidR="00AD2080" w:rsidRPr="00787AD1" w:rsidRDefault="00AD2080" w:rsidP="00AD2080">
            <w:pPr>
              <w:jc w:val="right"/>
            </w:pPr>
            <w:r>
              <w:rPr>
                <w:b/>
                <w:bCs/>
                <w:color w:val="000000"/>
              </w:rPr>
              <w:t>(2,298,925)</w:t>
            </w:r>
          </w:p>
        </w:tc>
        <w:tc>
          <w:tcPr>
            <w:tcW w:w="787" w:type="pct"/>
            <w:vAlign w:val="bottom"/>
          </w:tcPr>
          <w:p w14:paraId="2E1C86C9" w14:textId="4C777A51" w:rsidR="00AD2080" w:rsidRPr="00EB34CF" w:rsidRDefault="00AD2080" w:rsidP="00AD2080">
            <w:pPr>
              <w:jc w:val="right"/>
            </w:pPr>
            <w:r>
              <w:rPr>
                <w:color w:val="000000"/>
              </w:rPr>
              <w:t>(24,928,263)</w:t>
            </w:r>
          </w:p>
        </w:tc>
      </w:tr>
      <w:tr w:rsidR="00AD2080" w:rsidRPr="005E3661" w14:paraId="5791E271" w14:textId="77777777" w:rsidTr="00F24933">
        <w:trPr>
          <w:trHeight w:val="20"/>
        </w:trPr>
        <w:tc>
          <w:tcPr>
            <w:tcW w:w="3426" w:type="pct"/>
            <w:vAlign w:val="bottom"/>
          </w:tcPr>
          <w:p w14:paraId="14668034" w14:textId="59B35ECD" w:rsidR="00AD2080" w:rsidRPr="005E3661" w:rsidRDefault="00AD2080" w:rsidP="00AD2080">
            <w:pPr>
              <w:jc w:val="left"/>
              <w:rPr>
                <w:rFonts w:eastAsia="SimSun"/>
                <w:lang w:eastAsia="zh-CN"/>
              </w:rPr>
            </w:pPr>
            <w:r>
              <w:rPr>
                <w:rFonts w:eastAsia="SimSun"/>
                <w:lang w:eastAsia="zh-CN"/>
              </w:rPr>
              <w:t>Gain (loss) from discontinued operations</w:t>
            </w:r>
          </w:p>
        </w:tc>
        <w:tc>
          <w:tcPr>
            <w:tcW w:w="787" w:type="pct"/>
            <w:vAlign w:val="bottom"/>
          </w:tcPr>
          <w:p w14:paraId="3B5119F1" w14:textId="5128086D" w:rsidR="00AD2080" w:rsidRPr="00787AD1" w:rsidRDefault="00AD2080" w:rsidP="00AD2080">
            <w:pPr>
              <w:jc w:val="right"/>
            </w:pPr>
            <w:r>
              <w:rPr>
                <w:b/>
                <w:bCs/>
                <w:color w:val="000000"/>
              </w:rPr>
              <w:t>133,915</w:t>
            </w:r>
          </w:p>
        </w:tc>
        <w:tc>
          <w:tcPr>
            <w:tcW w:w="787" w:type="pct"/>
            <w:vAlign w:val="bottom"/>
          </w:tcPr>
          <w:p w14:paraId="315CFE3B" w14:textId="326DD30A" w:rsidR="00AD2080" w:rsidRPr="00EB34CF" w:rsidRDefault="00AD2080" w:rsidP="00AD2080">
            <w:pPr>
              <w:jc w:val="right"/>
            </w:pPr>
            <w:r>
              <w:rPr>
                <w:color w:val="000000"/>
              </w:rPr>
              <w:t>(285,293)</w:t>
            </w:r>
          </w:p>
        </w:tc>
      </w:tr>
      <w:tr w:rsidR="00AD2080" w:rsidRPr="005E3661" w14:paraId="4212786A" w14:textId="77777777" w:rsidTr="00F24933">
        <w:trPr>
          <w:trHeight w:val="20"/>
        </w:trPr>
        <w:tc>
          <w:tcPr>
            <w:tcW w:w="3426" w:type="pct"/>
            <w:vAlign w:val="bottom"/>
          </w:tcPr>
          <w:p w14:paraId="12A8EE0F" w14:textId="01664BBB" w:rsidR="00AD2080" w:rsidRPr="005E3661" w:rsidRDefault="00AD2080" w:rsidP="00AD2080">
            <w:pPr>
              <w:ind w:left="179" w:hanging="179"/>
              <w:jc w:val="left"/>
              <w:rPr>
                <w:rFonts w:eastAsia="SimSun"/>
                <w:lang w:eastAsia="zh-CN"/>
              </w:rPr>
            </w:pPr>
            <w:r>
              <w:rPr>
                <w:rFonts w:eastAsia="SimSun"/>
                <w:lang w:eastAsia="zh-CN"/>
              </w:rPr>
              <w:t>Net loss for the period</w:t>
            </w:r>
          </w:p>
        </w:tc>
        <w:tc>
          <w:tcPr>
            <w:tcW w:w="787" w:type="pct"/>
            <w:vAlign w:val="bottom"/>
          </w:tcPr>
          <w:p w14:paraId="75C1633A" w14:textId="1F631930" w:rsidR="00AD2080" w:rsidRPr="00787AD1" w:rsidRDefault="00AD2080" w:rsidP="00AD2080">
            <w:pPr>
              <w:jc w:val="right"/>
            </w:pPr>
            <w:r>
              <w:rPr>
                <w:b/>
                <w:bCs/>
                <w:color w:val="000000"/>
              </w:rPr>
              <w:t>(2,165,010)</w:t>
            </w:r>
          </w:p>
        </w:tc>
        <w:tc>
          <w:tcPr>
            <w:tcW w:w="787" w:type="pct"/>
            <w:vAlign w:val="bottom"/>
          </w:tcPr>
          <w:p w14:paraId="1708A79A" w14:textId="51C8334D" w:rsidR="00AD2080" w:rsidRPr="00EB34CF" w:rsidRDefault="00AD2080" w:rsidP="00AD2080">
            <w:pPr>
              <w:jc w:val="right"/>
            </w:pPr>
            <w:r>
              <w:rPr>
                <w:color w:val="000000"/>
              </w:rPr>
              <w:t>(25,213,556)</w:t>
            </w:r>
          </w:p>
        </w:tc>
      </w:tr>
      <w:tr w:rsidR="00AD2080" w:rsidRPr="005E3661" w14:paraId="33307A64" w14:textId="77777777" w:rsidTr="00F24933">
        <w:trPr>
          <w:trHeight w:val="20"/>
        </w:trPr>
        <w:tc>
          <w:tcPr>
            <w:tcW w:w="3426" w:type="pct"/>
            <w:tcBorders>
              <w:bottom w:val="single" w:sz="12" w:space="0" w:color="auto"/>
            </w:tcBorders>
            <w:vAlign w:val="bottom"/>
          </w:tcPr>
          <w:p w14:paraId="59A2608F" w14:textId="563C87F5" w:rsidR="00AD2080" w:rsidRPr="005E3661" w:rsidRDefault="00AD2080" w:rsidP="00AD2080">
            <w:pPr>
              <w:rPr>
                <w:rFonts w:eastAsia="SimSun"/>
                <w:lang w:eastAsia="zh-CN"/>
              </w:rPr>
            </w:pPr>
            <w:r>
              <w:rPr>
                <w:rFonts w:eastAsia="SimSun"/>
                <w:lang w:eastAsia="zh-CN"/>
              </w:rPr>
              <w:t xml:space="preserve">Adjusted EBITDA loss </w:t>
            </w:r>
            <w:r w:rsidRPr="007D254F">
              <w:rPr>
                <w:rFonts w:eastAsia="SimSun"/>
                <w:vertAlign w:val="superscript"/>
                <w:lang w:eastAsia="zh-CN"/>
              </w:rPr>
              <w:t>(1)</w:t>
            </w:r>
            <w:r>
              <w:rPr>
                <w:rFonts w:eastAsia="SimSun"/>
                <w:lang w:eastAsia="zh-CN"/>
              </w:rPr>
              <w:t xml:space="preserve"> </w:t>
            </w:r>
          </w:p>
        </w:tc>
        <w:tc>
          <w:tcPr>
            <w:tcW w:w="787" w:type="pct"/>
            <w:tcBorders>
              <w:bottom w:val="single" w:sz="12" w:space="0" w:color="auto"/>
            </w:tcBorders>
            <w:vAlign w:val="bottom"/>
          </w:tcPr>
          <w:p w14:paraId="455F36EC" w14:textId="404F839C" w:rsidR="00AD2080" w:rsidRPr="00787AD1" w:rsidRDefault="00AD2080" w:rsidP="00AD2080">
            <w:pPr>
              <w:jc w:val="right"/>
            </w:pPr>
            <w:r>
              <w:rPr>
                <w:b/>
                <w:bCs/>
                <w:color w:val="000000"/>
              </w:rPr>
              <w:t>(1,239,475)</w:t>
            </w:r>
          </w:p>
        </w:tc>
        <w:tc>
          <w:tcPr>
            <w:tcW w:w="787" w:type="pct"/>
            <w:tcBorders>
              <w:bottom w:val="single" w:sz="12" w:space="0" w:color="auto"/>
            </w:tcBorders>
            <w:vAlign w:val="bottom"/>
          </w:tcPr>
          <w:p w14:paraId="70CAE7EE" w14:textId="50CD4BCA" w:rsidR="00AD2080" w:rsidRPr="00EB34CF" w:rsidRDefault="00AD2080" w:rsidP="00AD2080">
            <w:pPr>
              <w:jc w:val="right"/>
            </w:pPr>
            <w:r>
              <w:rPr>
                <w:color w:val="000000"/>
              </w:rPr>
              <w:t>(547,790)</w:t>
            </w:r>
          </w:p>
        </w:tc>
      </w:tr>
    </w:tbl>
    <w:p w14:paraId="5F5B9E29" w14:textId="77777777" w:rsidR="00484CE5" w:rsidRDefault="00484CE5" w:rsidP="00484CE5">
      <w:r w:rsidRPr="00484CE5">
        <w:rPr>
          <w:vertAlign w:val="superscript"/>
        </w:rPr>
        <w:t>(1)</w:t>
      </w:r>
      <w:r>
        <w:t xml:space="preserve"> </w:t>
      </w:r>
      <w:r w:rsidRPr="00484CE5">
        <w:rPr>
          <w:sz w:val="16"/>
          <w:szCs w:val="16"/>
        </w:rPr>
        <w:t>Adjusted EBITDA is a non-GAAP financial measure that is calculated as income (loss) from continuing operations before depreciation and amortization, interest, accretion, share-based compensation, gain or loss from changes in fair value of warrant liability, impairment of intangible assets, and impairment of goodwill.</w:t>
      </w:r>
    </w:p>
    <w:p w14:paraId="3FB240CE" w14:textId="1DE25815" w:rsidR="0063196D" w:rsidRPr="00970226" w:rsidRDefault="0063196D">
      <w:pPr>
        <w:rPr>
          <w:sz w:val="16"/>
          <w:szCs w:val="16"/>
        </w:rPr>
      </w:pPr>
    </w:p>
    <w:p w14:paraId="04672298" w14:textId="3FD8C1EC" w:rsidR="006C691F" w:rsidRDefault="006C691F" w:rsidP="006C691F">
      <w:r>
        <w:t>The following table presents select</w:t>
      </w:r>
      <w:r w:rsidR="00340BE2">
        <w:t>ed</w:t>
      </w:r>
      <w:r>
        <w:t xml:space="preserve"> financial highlights of the Company’s financial condition as </w:t>
      </w:r>
      <w:proofErr w:type="gramStart"/>
      <w:r>
        <w:t>at</w:t>
      </w:r>
      <w:proofErr w:type="gramEnd"/>
      <w:r>
        <w:t xml:space="preserve"> March 31, 2022 and December 31, 2021.</w:t>
      </w:r>
    </w:p>
    <w:p w14:paraId="0F59D5AE" w14:textId="77777777" w:rsidR="006C691F" w:rsidRPr="00970226" w:rsidRDefault="006C691F">
      <w:pPr>
        <w:rPr>
          <w:sz w:val="16"/>
          <w:szCs w:val="16"/>
        </w:rPr>
      </w:pP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2"/>
        <w:gridCol w:w="1473"/>
        <w:gridCol w:w="1473"/>
      </w:tblGrid>
      <w:tr w:rsidR="00484CE5" w:rsidRPr="005E3661" w14:paraId="5E3506E0" w14:textId="77777777" w:rsidTr="00170494">
        <w:trPr>
          <w:trHeight w:val="20"/>
        </w:trPr>
        <w:tc>
          <w:tcPr>
            <w:tcW w:w="3426" w:type="pct"/>
            <w:tcBorders>
              <w:top w:val="single" w:sz="4" w:space="0" w:color="auto"/>
              <w:bottom w:val="single" w:sz="12" w:space="0" w:color="auto"/>
            </w:tcBorders>
          </w:tcPr>
          <w:p w14:paraId="7CBEDC4A" w14:textId="77777777" w:rsidR="00484CE5" w:rsidRPr="005E3661" w:rsidRDefault="00484CE5" w:rsidP="00F640AD"/>
        </w:tc>
        <w:tc>
          <w:tcPr>
            <w:tcW w:w="787" w:type="pct"/>
            <w:tcBorders>
              <w:top w:val="single" w:sz="4" w:space="0" w:color="auto"/>
              <w:bottom w:val="single" w:sz="12" w:space="0" w:color="auto"/>
            </w:tcBorders>
            <w:vAlign w:val="bottom"/>
          </w:tcPr>
          <w:p w14:paraId="4115EC28" w14:textId="77777777" w:rsidR="00484CE5" w:rsidRPr="00787AD1" w:rsidRDefault="00484CE5" w:rsidP="00F640AD">
            <w:pPr>
              <w:jc w:val="right"/>
              <w:rPr>
                <w:b/>
                <w:bCs/>
              </w:rPr>
            </w:pPr>
            <w:r>
              <w:rPr>
                <w:b/>
                <w:bCs/>
              </w:rPr>
              <w:t>March 31, 2022</w:t>
            </w:r>
          </w:p>
        </w:tc>
        <w:tc>
          <w:tcPr>
            <w:tcW w:w="787" w:type="pct"/>
            <w:tcBorders>
              <w:top w:val="single" w:sz="4" w:space="0" w:color="auto"/>
              <w:bottom w:val="single" w:sz="12" w:space="0" w:color="auto"/>
            </w:tcBorders>
            <w:vAlign w:val="bottom"/>
          </w:tcPr>
          <w:p w14:paraId="1BA6847A" w14:textId="2A5534A5" w:rsidR="00484CE5" w:rsidRPr="00787AD1" w:rsidRDefault="00361E98" w:rsidP="00F640AD">
            <w:pPr>
              <w:jc w:val="right"/>
            </w:pPr>
            <w:r>
              <w:t>December 31, 2021</w:t>
            </w:r>
          </w:p>
        </w:tc>
      </w:tr>
      <w:tr w:rsidR="00484CE5" w:rsidRPr="005E3661" w14:paraId="52292826" w14:textId="77777777" w:rsidTr="00170494">
        <w:trPr>
          <w:trHeight w:val="20"/>
        </w:trPr>
        <w:tc>
          <w:tcPr>
            <w:tcW w:w="3426" w:type="pct"/>
            <w:tcBorders>
              <w:top w:val="single" w:sz="12" w:space="0" w:color="auto"/>
            </w:tcBorders>
          </w:tcPr>
          <w:p w14:paraId="33559A74" w14:textId="77777777" w:rsidR="00484CE5" w:rsidRPr="005E3661" w:rsidRDefault="00484CE5" w:rsidP="00F640AD"/>
        </w:tc>
        <w:tc>
          <w:tcPr>
            <w:tcW w:w="787" w:type="pct"/>
            <w:tcBorders>
              <w:top w:val="single" w:sz="12" w:space="0" w:color="auto"/>
            </w:tcBorders>
            <w:vAlign w:val="bottom"/>
          </w:tcPr>
          <w:p w14:paraId="7613127A" w14:textId="77777777" w:rsidR="00484CE5" w:rsidRPr="00787AD1" w:rsidRDefault="00484CE5" w:rsidP="00F640AD">
            <w:pPr>
              <w:jc w:val="right"/>
            </w:pPr>
            <w:r w:rsidRPr="00787AD1">
              <w:rPr>
                <w:b/>
                <w:bCs/>
              </w:rPr>
              <w:t>$</w:t>
            </w:r>
          </w:p>
        </w:tc>
        <w:tc>
          <w:tcPr>
            <w:tcW w:w="787" w:type="pct"/>
            <w:tcBorders>
              <w:top w:val="single" w:sz="12" w:space="0" w:color="auto"/>
            </w:tcBorders>
            <w:vAlign w:val="bottom"/>
          </w:tcPr>
          <w:p w14:paraId="54B8D751" w14:textId="77777777" w:rsidR="00484CE5" w:rsidRPr="005E3661" w:rsidRDefault="00484CE5" w:rsidP="00F640AD">
            <w:pPr>
              <w:jc w:val="right"/>
            </w:pPr>
            <w:r w:rsidRPr="00787AD1">
              <w:t>$</w:t>
            </w:r>
          </w:p>
        </w:tc>
      </w:tr>
      <w:tr w:rsidR="00AD2080" w:rsidRPr="005E3661" w14:paraId="4456D471" w14:textId="77777777" w:rsidTr="00F24933">
        <w:trPr>
          <w:trHeight w:val="20"/>
        </w:trPr>
        <w:tc>
          <w:tcPr>
            <w:tcW w:w="3426" w:type="pct"/>
            <w:vAlign w:val="bottom"/>
          </w:tcPr>
          <w:p w14:paraId="0FF61EF6" w14:textId="464C7D04" w:rsidR="00AD2080" w:rsidRPr="005E3661" w:rsidRDefault="00AD2080" w:rsidP="00AD2080">
            <w:pPr>
              <w:ind w:left="179" w:hanging="179"/>
              <w:jc w:val="left"/>
            </w:pPr>
            <w:r>
              <w:rPr>
                <w:lang w:val="en-US" w:eastAsia="en-CA"/>
              </w:rPr>
              <w:t>Cash</w:t>
            </w:r>
          </w:p>
        </w:tc>
        <w:tc>
          <w:tcPr>
            <w:tcW w:w="787" w:type="pct"/>
            <w:vAlign w:val="bottom"/>
          </w:tcPr>
          <w:p w14:paraId="700E7F15" w14:textId="2BCF7B8E" w:rsidR="00AD2080" w:rsidRPr="00787AD1" w:rsidRDefault="00AD2080" w:rsidP="00AD2080">
            <w:pPr>
              <w:jc w:val="right"/>
              <w:rPr>
                <w:highlight w:val="yellow"/>
              </w:rPr>
            </w:pPr>
            <w:r>
              <w:rPr>
                <w:b/>
                <w:bCs/>
                <w:color w:val="000000"/>
              </w:rPr>
              <w:t>2,518,743</w:t>
            </w:r>
          </w:p>
        </w:tc>
        <w:tc>
          <w:tcPr>
            <w:tcW w:w="787" w:type="pct"/>
            <w:vAlign w:val="bottom"/>
          </w:tcPr>
          <w:p w14:paraId="772E3FE9" w14:textId="67894376" w:rsidR="00AD2080" w:rsidRPr="00EB34CF" w:rsidRDefault="00AD2080" w:rsidP="00AD2080">
            <w:pPr>
              <w:jc w:val="right"/>
            </w:pPr>
            <w:r>
              <w:rPr>
                <w:color w:val="000000"/>
              </w:rPr>
              <w:t>866,170</w:t>
            </w:r>
          </w:p>
        </w:tc>
      </w:tr>
      <w:tr w:rsidR="00AD2080" w:rsidRPr="005E3661" w14:paraId="223B0489" w14:textId="77777777" w:rsidTr="00F24933">
        <w:trPr>
          <w:trHeight w:val="20"/>
        </w:trPr>
        <w:tc>
          <w:tcPr>
            <w:tcW w:w="3426" w:type="pct"/>
            <w:vAlign w:val="bottom"/>
          </w:tcPr>
          <w:p w14:paraId="5220C433" w14:textId="286E9520" w:rsidR="00AD2080" w:rsidRPr="005E3661" w:rsidRDefault="00AD2080" w:rsidP="00AD2080">
            <w:pPr>
              <w:jc w:val="left"/>
              <w:rPr>
                <w:rFonts w:eastAsia="SimSun"/>
                <w:lang w:eastAsia="zh-CN"/>
              </w:rPr>
            </w:pPr>
            <w:r>
              <w:rPr>
                <w:lang w:val="en-US" w:eastAsia="en-CA"/>
              </w:rPr>
              <w:t>Working capital deficiency</w:t>
            </w:r>
          </w:p>
        </w:tc>
        <w:tc>
          <w:tcPr>
            <w:tcW w:w="787" w:type="pct"/>
            <w:vAlign w:val="bottom"/>
          </w:tcPr>
          <w:p w14:paraId="4E13A780" w14:textId="4549D55C" w:rsidR="00AD2080" w:rsidRPr="00787AD1" w:rsidRDefault="00AD2080" w:rsidP="00AD2080">
            <w:pPr>
              <w:jc w:val="right"/>
            </w:pPr>
            <w:r>
              <w:rPr>
                <w:b/>
                <w:bCs/>
                <w:color w:val="000000"/>
              </w:rPr>
              <w:t>(4,962,882)</w:t>
            </w:r>
          </w:p>
        </w:tc>
        <w:tc>
          <w:tcPr>
            <w:tcW w:w="787" w:type="pct"/>
            <w:vAlign w:val="bottom"/>
          </w:tcPr>
          <w:p w14:paraId="630DC492" w14:textId="4906F3A0" w:rsidR="00AD2080" w:rsidRPr="00EB34CF" w:rsidRDefault="00AD2080" w:rsidP="00AD2080">
            <w:pPr>
              <w:jc w:val="right"/>
            </w:pPr>
            <w:r>
              <w:rPr>
                <w:color w:val="000000"/>
              </w:rPr>
              <w:t>(4,542,752)</w:t>
            </w:r>
          </w:p>
        </w:tc>
      </w:tr>
      <w:tr w:rsidR="00AD2080" w:rsidRPr="005E3661" w14:paraId="28C0FD08" w14:textId="77777777" w:rsidTr="00F24933">
        <w:trPr>
          <w:trHeight w:val="20"/>
        </w:trPr>
        <w:tc>
          <w:tcPr>
            <w:tcW w:w="3426" w:type="pct"/>
            <w:vAlign w:val="bottom"/>
          </w:tcPr>
          <w:p w14:paraId="4D29BA09" w14:textId="11A0116B" w:rsidR="00AD2080" w:rsidRPr="005E3661" w:rsidRDefault="00AD2080" w:rsidP="00AD2080">
            <w:pPr>
              <w:rPr>
                <w:rFonts w:eastAsia="SimSun"/>
                <w:lang w:eastAsia="zh-CN"/>
              </w:rPr>
            </w:pPr>
            <w:r>
              <w:rPr>
                <w:lang w:val="en-US" w:eastAsia="en-CA"/>
              </w:rPr>
              <w:t>Current liabilities</w:t>
            </w:r>
          </w:p>
        </w:tc>
        <w:tc>
          <w:tcPr>
            <w:tcW w:w="787" w:type="pct"/>
            <w:vAlign w:val="bottom"/>
          </w:tcPr>
          <w:p w14:paraId="54D2C2EF" w14:textId="022B2D0E" w:rsidR="00AD2080" w:rsidRPr="00787AD1" w:rsidRDefault="00AD2080" w:rsidP="00AD2080">
            <w:pPr>
              <w:jc w:val="right"/>
            </w:pPr>
            <w:r>
              <w:rPr>
                <w:b/>
                <w:bCs/>
                <w:color w:val="000000"/>
              </w:rPr>
              <w:t>9,114,661</w:t>
            </w:r>
          </w:p>
        </w:tc>
        <w:tc>
          <w:tcPr>
            <w:tcW w:w="787" w:type="pct"/>
            <w:vAlign w:val="bottom"/>
          </w:tcPr>
          <w:p w14:paraId="348D3898" w14:textId="53E41462" w:rsidR="00AD2080" w:rsidRPr="00EB34CF" w:rsidRDefault="00AD2080" w:rsidP="00AD2080">
            <w:pPr>
              <w:jc w:val="right"/>
            </w:pPr>
            <w:r>
              <w:rPr>
                <w:color w:val="000000"/>
              </w:rPr>
              <w:t>7,703,093</w:t>
            </w:r>
          </w:p>
        </w:tc>
      </w:tr>
      <w:tr w:rsidR="00AD2080" w:rsidRPr="005E3661" w14:paraId="7AC1437F" w14:textId="77777777" w:rsidTr="00F24933">
        <w:trPr>
          <w:trHeight w:val="82"/>
        </w:trPr>
        <w:tc>
          <w:tcPr>
            <w:tcW w:w="3426" w:type="pct"/>
            <w:tcBorders>
              <w:bottom w:val="single" w:sz="12" w:space="0" w:color="auto"/>
            </w:tcBorders>
            <w:vAlign w:val="bottom"/>
          </w:tcPr>
          <w:p w14:paraId="0EB7DF45" w14:textId="44C90140" w:rsidR="00AD2080" w:rsidRPr="005E3661" w:rsidRDefault="00AD2080" w:rsidP="00AD2080">
            <w:pPr>
              <w:rPr>
                <w:rFonts w:eastAsia="SimSun"/>
                <w:lang w:eastAsia="zh-CN"/>
              </w:rPr>
            </w:pPr>
            <w:r>
              <w:rPr>
                <w:lang w:val="en-US" w:eastAsia="en-CA"/>
              </w:rPr>
              <w:t>Non-current liabilities</w:t>
            </w:r>
          </w:p>
        </w:tc>
        <w:tc>
          <w:tcPr>
            <w:tcW w:w="787" w:type="pct"/>
            <w:tcBorders>
              <w:bottom w:val="single" w:sz="12" w:space="0" w:color="auto"/>
            </w:tcBorders>
            <w:vAlign w:val="bottom"/>
          </w:tcPr>
          <w:p w14:paraId="3EFD18DB" w14:textId="3553BB68" w:rsidR="00AD2080" w:rsidRPr="00787AD1" w:rsidRDefault="00AD2080" w:rsidP="00AD2080">
            <w:pPr>
              <w:jc w:val="right"/>
            </w:pPr>
            <w:r>
              <w:rPr>
                <w:b/>
                <w:bCs/>
                <w:color w:val="000000"/>
              </w:rPr>
              <w:t>4,297,642</w:t>
            </w:r>
          </w:p>
        </w:tc>
        <w:tc>
          <w:tcPr>
            <w:tcW w:w="787" w:type="pct"/>
            <w:tcBorders>
              <w:bottom w:val="single" w:sz="12" w:space="0" w:color="auto"/>
            </w:tcBorders>
            <w:vAlign w:val="bottom"/>
          </w:tcPr>
          <w:p w14:paraId="0EAF6BA5" w14:textId="4A2046F7" w:rsidR="00AD2080" w:rsidRPr="00EB34CF" w:rsidRDefault="00AD2080" w:rsidP="00AD2080">
            <w:pPr>
              <w:jc w:val="right"/>
            </w:pPr>
            <w:r>
              <w:rPr>
                <w:color w:val="000000"/>
              </w:rPr>
              <w:t>3,727,224</w:t>
            </w:r>
          </w:p>
        </w:tc>
      </w:tr>
    </w:tbl>
    <w:p w14:paraId="173B424A" w14:textId="1388B2D1" w:rsidR="00484CE5" w:rsidRPr="00970226" w:rsidRDefault="00484CE5"/>
    <w:p w14:paraId="120B4712" w14:textId="78B17773" w:rsidR="00150108" w:rsidRDefault="00484CE5" w:rsidP="005D3BD4">
      <w:pPr>
        <w:pStyle w:val="Heading1"/>
      </w:pPr>
      <w:r>
        <w:t>First</w:t>
      </w:r>
      <w:r w:rsidR="00A37508" w:rsidRPr="00B8542F">
        <w:t xml:space="preserve"> Quarter Financial Revie</w:t>
      </w:r>
      <w:r w:rsidR="00B8542F" w:rsidRPr="00B8542F">
        <w:t>w</w:t>
      </w:r>
    </w:p>
    <w:p w14:paraId="07C40F28" w14:textId="0F63FFE9" w:rsidR="00327130" w:rsidRPr="00970226" w:rsidRDefault="00327130" w:rsidP="00B8542F">
      <w:pPr>
        <w:rPr>
          <w:sz w:val="16"/>
          <w:szCs w:val="16"/>
        </w:rPr>
      </w:pPr>
    </w:p>
    <w:p w14:paraId="67FC3992" w14:textId="06AE800A" w:rsidR="00150108" w:rsidRPr="005E3661" w:rsidRDefault="00150108" w:rsidP="00B8542F">
      <w:r w:rsidRPr="005E3661">
        <w:t xml:space="preserve">The </w:t>
      </w:r>
      <w:r w:rsidRPr="00B8542F">
        <w:t>following</w:t>
      </w:r>
      <w:r w:rsidRPr="005E3661">
        <w:t xml:space="preserve"> table summarizes the results of operations for the </w:t>
      </w:r>
      <w:r w:rsidR="00A859BB" w:rsidRPr="005E3661">
        <w:t xml:space="preserve">three months </w:t>
      </w:r>
      <w:r w:rsidR="00762568">
        <w:t xml:space="preserve">ended </w:t>
      </w:r>
      <w:r w:rsidR="00484CE5">
        <w:t>March</w:t>
      </w:r>
      <w:r w:rsidR="00762568">
        <w:t xml:space="preserve"> 31, </w:t>
      </w:r>
      <w:r w:rsidR="000A66C7">
        <w:t>202</w:t>
      </w:r>
      <w:r w:rsidR="00484CE5">
        <w:t>2</w:t>
      </w:r>
      <w:r w:rsidR="000A66C7">
        <w:t>,</w:t>
      </w:r>
      <w:r w:rsidR="00A372BB">
        <w:t xml:space="preserve"> and 202</w:t>
      </w:r>
      <w:r w:rsidR="00484CE5">
        <w:t>1</w:t>
      </w:r>
      <w:r w:rsidR="00A372BB">
        <w:t>:</w:t>
      </w:r>
    </w:p>
    <w:p w14:paraId="52399019" w14:textId="44DA528B" w:rsidR="00150108" w:rsidRPr="00970226" w:rsidRDefault="00150108" w:rsidP="00B8542F">
      <w:pPr>
        <w:rPr>
          <w:sz w:val="16"/>
          <w:szCs w:val="16"/>
        </w:rPr>
      </w:pP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2"/>
        <w:gridCol w:w="1473"/>
        <w:gridCol w:w="1473"/>
      </w:tblGrid>
      <w:tr w:rsidR="00484CE5" w:rsidRPr="005E3661" w14:paraId="00555B77" w14:textId="77777777" w:rsidTr="00170494">
        <w:trPr>
          <w:trHeight w:val="20"/>
        </w:trPr>
        <w:tc>
          <w:tcPr>
            <w:tcW w:w="3426" w:type="pct"/>
            <w:tcBorders>
              <w:top w:val="single" w:sz="4" w:space="0" w:color="auto"/>
              <w:bottom w:val="single" w:sz="12" w:space="0" w:color="auto"/>
            </w:tcBorders>
          </w:tcPr>
          <w:p w14:paraId="685FA645" w14:textId="77777777" w:rsidR="00484CE5" w:rsidRPr="005E3661" w:rsidRDefault="00484CE5" w:rsidP="00F640AD"/>
        </w:tc>
        <w:tc>
          <w:tcPr>
            <w:tcW w:w="787" w:type="pct"/>
            <w:tcBorders>
              <w:top w:val="single" w:sz="4" w:space="0" w:color="auto"/>
              <w:bottom w:val="single" w:sz="12" w:space="0" w:color="auto"/>
            </w:tcBorders>
            <w:vAlign w:val="bottom"/>
          </w:tcPr>
          <w:p w14:paraId="387A929D" w14:textId="5C62EC12" w:rsidR="00484CE5" w:rsidRPr="00787AD1" w:rsidRDefault="00BB711D" w:rsidP="00F640AD">
            <w:pPr>
              <w:jc w:val="right"/>
              <w:rPr>
                <w:b/>
                <w:bCs/>
              </w:rPr>
            </w:pPr>
            <w:r>
              <w:rPr>
                <w:b/>
                <w:bCs/>
              </w:rPr>
              <w:t>2022</w:t>
            </w:r>
          </w:p>
        </w:tc>
        <w:tc>
          <w:tcPr>
            <w:tcW w:w="787" w:type="pct"/>
            <w:tcBorders>
              <w:top w:val="single" w:sz="4" w:space="0" w:color="auto"/>
              <w:bottom w:val="single" w:sz="12" w:space="0" w:color="auto"/>
            </w:tcBorders>
            <w:vAlign w:val="bottom"/>
          </w:tcPr>
          <w:p w14:paraId="1F224247" w14:textId="05C8DA53" w:rsidR="00484CE5" w:rsidRPr="00787AD1" w:rsidRDefault="00BB711D" w:rsidP="00F640AD">
            <w:pPr>
              <w:jc w:val="right"/>
            </w:pPr>
            <w:r>
              <w:t>2021</w:t>
            </w:r>
          </w:p>
        </w:tc>
      </w:tr>
      <w:tr w:rsidR="00484CE5" w:rsidRPr="005E3661" w14:paraId="0468BC63" w14:textId="77777777" w:rsidTr="00170494">
        <w:trPr>
          <w:trHeight w:val="20"/>
        </w:trPr>
        <w:tc>
          <w:tcPr>
            <w:tcW w:w="3426" w:type="pct"/>
            <w:tcBorders>
              <w:top w:val="single" w:sz="12" w:space="0" w:color="auto"/>
            </w:tcBorders>
          </w:tcPr>
          <w:p w14:paraId="65A28426" w14:textId="77777777" w:rsidR="00484CE5" w:rsidRPr="005E3661" w:rsidRDefault="00484CE5" w:rsidP="00F640AD"/>
        </w:tc>
        <w:tc>
          <w:tcPr>
            <w:tcW w:w="787" w:type="pct"/>
            <w:tcBorders>
              <w:top w:val="single" w:sz="12" w:space="0" w:color="auto"/>
            </w:tcBorders>
            <w:vAlign w:val="bottom"/>
          </w:tcPr>
          <w:p w14:paraId="26B48E2F" w14:textId="77777777" w:rsidR="00484CE5" w:rsidRPr="00787AD1" w:rsidRDefault="00484CE5" w:rsidP="00F640AD">
            <w:pPr>
              <w:jc w:val="right"/>
            </w:pPr>
            <w:r w:rsidRPr="00787AD1">
              <w:rPr>
                <w:b/>
                <w:bCs/>
              </w:rPr>
              <w:t>$</w:t>
            </w:r>
          </w:p>
        </w:tc>
        <w:tc>
          <w:tcPr>
            <w:tcW w:w="787" w:type="pct"/>
            <w:tcBorders>
              <w:top w:val="single" w:sz="12" w:space="0" w:color="auto"/>
            </w:tcBorders>
            <w:vAlign w:val="bottom"/>
          </w:tcPr>
          <w:p w14:paraId="77BF63E8" w14:textId="77777777" w:rsidR="00484CE5" w:rsidRPr="005E3661" w:rsidRDefault="00484CE5" w:rsidP="00F640AD">
            <w:pPr>
              <w:jc w:val="right"/>
            </w:pPr>
            <w:r w:rsidRPr="00787AD1">
              <w:t>$</w:t>
            </w:r>
          </w:p>
        </w:tc>
      </w:tr>
      <w:tr w:rsidR="00AD2080" w:rsidRPr="005E3661" w14:paraId="7D9AAB8F" w14:textId="77777777" w:rsidTr="00DF2D64">
        <w:trPr>
          <w:trHeight w:val="20"/>
        </w:trPr>
        <w:tc>
          <w:tcPr>
            <w:tcW w:w="3426" w:type="pct"/>
            <w:vAlign w:val="bottom"/>
          </w:tcPr>
          <w:p w14:paraId="410FD43E" w14:textId="77777777" w:rsidR="00AD2080" w:rsidRPr="005E3661" w:rsidRDefault="00AD2080" w:rsidP="00AD2080">
            <w:pPr>
              <w:ind w:left="179" w:hanging="179"/>
              <w:jc w:val="left"/>
            </w:pPr>
            <w:r>
              <w:t>Total revenue</w:t>
            </w:r>
          </w:p>
        </w:tc>
        <w:tc>
          <w:tcPr>
            <w:tcW w:w="787" w:type="pct"/>
            <w:vAlign w:val="center"/>
          </w:tcPr>
          <w:p w14:paraId="174E23CB" w14:textId="439FCC9C" w:rsidR="00AD2080" w:rsidRPr="00787AD1" w:rsidRDefault="00AD2080" w:rsidP="00AD2080">
            <w:pPr>
              <w:jc w:val="right"/>
              <w:rPr>
                <w:highlight w:val="yellow"/>
              </w:rPr>
            </w:pPr>
            <w:r>
              <w:rPr>
                <w:b/>
                <w:bCs/>
                <w:color w:val="000000"/>
              </w:rPr>
              <w:t>1,106,950</w:t>
            </w:r>
          </w:p>
        </w:tc>
        <w:tc>
          <w:tcPr>
            <w:tcW w:w="787" w:type="pct"/>
            <w:vAlign w:val="center"/>
          </w:tcPr>
          <w:p w14:paraId="2BBFF159" w14:textId="43C73756" w:rsidR="00AD2080" w:rsidRPr="00EB34CF" w:rsidRDefault="00AD2080" w:rsidP="00AD2080">
            <w:pPr>
              <w:jc w:val="right"/>
            </w:pPr>
            <w:r>
              <w:rPr>
                <w:color w:val="000000"/>
              </w:rPr>
              <w:t>1,958,802</w:t>
            </w:r>
          </w:p>
        </w:tc>
      </w:tr>
      <w:tr w:rsidR="00AD2080" w:rsidRPr="005E3661" w14:paraId="21E629F3" w14:textId="77777777" w:rsidTr="00DF2D64">
        <w:trPr>
          <w:trHeight w:val="20"/>
        </w:trPr>
        <w:tc>
          <w:tcPr>
            <w:tcW w:w="3426" w:type="pct"/>
            <w:vAlign w:val="bottom"/>
          </w:tcPr>
          <w:p w14:paraId="31B4910D" w14:textId="77777777" w:rsidR="00AD2080" w:rsidRPr="005E3661" w:rsidRDefault="00AD2080" w:rsidP="00AD2080">
            <w:pPr>
              <w:jc w:val="left"/>
              <w:rPr>
                <w:rFonts w:eastAsia="SimSun"/>
                <w:lang w:eastAsia="zh-CN"/>
              </w:rPr>
            </w:pPr>
          </w:p>
        </w:tc>
        <w:tc>
          <w:tcPr>
            <w:tcW w:w="787" w:type="pct"/>
            <w:vAlign w:val="center"/>
          </w:tcPr>
          <w:p w14:paraId="772D5C30" w14:textId="77777777" w:rsidR="00AD2080" w:rsidRPr="00787AD1" w:rsidRDefault="00AD2080" w:rsidP="00AD2080">
            <w:pPr>
              <w:jc w:val="right"/>
            </w:pPr>
          </w:p>
        </w:tc>
        <w:tc>
          <w:tcPr>
            <w:tcW w:w="787" w:type="pct"/>
            <w:vAlign w:val="center"/>
          </w:tcPr>
          <w:p w14:paraId="22368DAF" w14:textId="77777777" w:rsidR="00AD2080" w:rsidRPr="00EB34CF" w:rsidRDefault="00AD2080" w:rsidP="00AD2080">
            <w:pPr>
              <w:jc w:val="right"/>
            </w:pPr>
          </w:p>
        </w:tc>
      </w:tr>
      <w:tr w:rsidR="00AD2080" w:rsidRPr="005E3661" w14:paraId="3F545980" w14:textId="77777777" w:rsidTr="00DF2D64">
        <w:trPr>
          <w:trHeight w:val="20"/>
        </w:trPr>
        <w:tc>
          <w:tcPr>
            <w:tcW w:w="3426" w:type="pct"/>
            <w:vAlign w:val="bottom"/>
          </w:tcPr>
          <w:p w14:paraId="15E40BAC" w14:textId="77777777" w:rsidR="00AD2080" w:rsidRPr="005E3661" w:rsidRDefault="00AD2080" w:rsidP="00AD2080">
            <w:pPr>
              <w:rPr>
                <w:rFonts w:eastAsia="SimSun"/>
                <w:lang w:eastAsia="zh-CN"/>
              </w:rPr>
            </w:pPr>
            <w:r>
              <w:rPr>
                <w:rFonts w:eastAsia="SimSun"/>
                <w:lang w:eastAsia="zh-CN"/>
              </w:rPr>
              <w:t>Gross margin</w:t>
            </w:r>
          </w:p>
        </w:tc>
        <w:tc>
          <w:tcPr>
            <w:tcW w:w="787" w:type="pct"/>
            <w:vAlign w:val="center"/>
          </w:tcPr>
          <w:p w14:paraId="68A08865" w14:textId="19839355" w:rsidR="00AD2080" w:rsidRPr="00787AD1" w:rsidRDefault="00AD2080" w:rsidP="00AD2080">
            <w:pPr>
              <w:jc w:val="right"/>
            </w:pPr>
            <w:r>
              <w:rPr>
                <w:b/>
                <w:bCs/>
                <w:color w:val="000000"/>
              </w:rPr>
              <w:t>234,871</w:t>
            </w:r>
          </w:p>
        </w:tc>
        <w:tc>
          <w:tcPr>
            <w:tcW w:w="787" w:type="pct"/>
            <w:vAlign w:val="center"/>
          </w:tcPr>
          <w:p w14:paraId="719D6C65" w14:textId="5184D2C0" w:rsidR="00AD2080" w:rsidRPr="00EB34CF" w:rsidRDefault="00AD2080" w:rsidP="00AD2080">
            <w:pPr>
              <w:jc w:val="right"/>
            </w:pPr>
            <w:r>
              <w:rPr>
                <w:color w:val="000000"/>
              </w:rPr>
              <w:t>1,216,435</w:t>
            </w:r>
          </w:p>
        </w:tc>
      </w:tr>
      <w:tr w:rsidR="00AD2080" w:rsidRPr="005E3661" w14:paraId="3393A84A" w14:textId="77777777" w:rsidTr="00DF2D64">
        <w:trPr>
          <w:trHeight w:val="20"/>
        </w:trPr>
        <w:tc>
          <w:tcPr>
            <w:tcW w:w="3426" w:type="pct"/>
            <w:vAlign w:val="bottom"/>
          </w:tcPr>
          <w:p w14:paraId="21FA5240" w14:textId="77777777" w:rsidR="00AD2080" w:rsidRPr="005E3661" w:rsidRDefault="00AD2080" w:rsidP="00AD2080">
            <w:pPr>
              <w:rPr>
                <w:rFonts w:eastAsia="SimSun"/>
                <w:lang w:eastAsia="zh-CN"/>
              </w:rPr>
            </w:pPr>
          </w:p>
        </w:tc>
        <w:tc>
          <w:tcPr>
            <w:tcW w:w="787" w:type="pct"/>
            <w:vAlign w:val="center"/>
          </w:tcPr>
          <w:p w14:paraId="1B32376C" w14:textId="77777777" w:rsidR="00AD2080" w:rsidRPr="00787AD1" w:rsidRDefault="00AD2080" w:rsidP="00AD2080">
            <w:pPr>
              <w:jc w:val="right"/>
            </w:pPr>
          </w:p>
        </w:tc>
        <w:tc>
          <w:tcPr>
            <w:tcW w:w="787" w:type="pct"/>
            <w:vAlign w:val="center"/>
          </w:tcPr>
          <w:p w14:paraId="7084D95D" w14:textId="77777777" w:rsidR="00AD2080" w:rsidRPr="00EB34CF" w:rsidRDefault="00AD2080" w:rsidP="00AD2080">
            <w:pPr>
              <w:jc w:val="right"/>
            </w:pPr>
          </w:p>
        </w:tc>
      </w:tr>
      <w:tr w:rsidR="00AD2080" w:rsidRPr="005E3661" w14:paraId="1BB7B5ED" w14:textId="77777777" w:rsidTr="00DF2D64">
        <w:trPr>
          <w:trHeight w:val="20"/>
        </w:trPr>
        <w:tc>
          <w:tcPr>
            <w:tcW w:w="3426" w:type="pct"/>
            <w:vAlign w:val="bottom"/>
          </w:tcPr>
          <w:p w14:paraId="42AC011D" w14:textId="0D4D9C96" w:rsidR="00AD2080" w:rsidRPr="005E3661" w:rsidRDefault="00AD2080" w:rsidP="00AD2080">
            <w:pPr>
              <w:rPr>
                <w:rFonts w:eastAsia="SimSun"/>
                <w:lang w:eastAsia="zh-CN"/>
              </w:rPr>
            </w:pPr>
            <w:r>
              <w:rPr>
                <w:rFonts w:eastAsia="SimSun"/>
                <w:lang w:eastAsia="zh-CN"/>
              </w:rPr>
              <w:t>Operating expenses</w:t>
            </w:r>
          </w:p>
        </w:tc>
        <w:tc>
          <w:tcPr>
            <w:tcW w:w="787" w:type="pct"/>
            <w:vAlign w:val="center"/>
          </w:tcPr>
          <w:p w14:paraId="5BB39465" w14:textId="4491DAA9" w:rsidR="00AD2080" w:rsidRPr="00787AD1" w:rsidRDefault="00AD2080" w:rsidP="00AD2080">
            <w:pPr>
              <w:jc w:val="right"/>
            </w:pPr>
            <w:r>
              <w:rPr>
                <w:b/>
                <w:bCs/>
                <w:color w:val="000000"/>
              </w:rPr>
              <w:t>1,308,443</w:t>
            </w:r>
          </w:p>
        </w:tc>
        <w:tc>
          <w:tcPr>
            <w:tcW w:w="787" w:type="pct"/>
            <w:vAlign w:val="center"/>
          </w:tcPr>
          <w:p w14:paraId="1350BEE3" w14:textId="5C425B9D" w:rsidR="00AD2080" w:rsidRPr="00EB34CF" w:rsidRDefault="00AD2080" w:rsidP="00AD2080">
            <w:pPr>
              <w:jc w:val="right"/>
            </w:pPr>
            <w:r>
              <w:rPr>
                <w:color w:val="000000"/>
              </w:rPr>
              <w:t>899,205</w:t>
            </w:r>
          </w:p>
        </w:tc>
      </w:tr>
      <w:tr w:rsidR="00AD2080" w:rsidRPr="005E3661" w14:paraId="382E12B6" w14:textId="77777777" w:rsidTr="00DF2D64">
        <w:trPr>
          <w:trHeight w:val="20"/>
        </w:trPr>
        <w:tc>
          <w:tcPr>
            <w:tcW w:w="3426" w:type="pct"/>
            <w:vAlign w:val="bottom"/>
          </w:tcPr>
          <w:p w14:paraId="71CB060F" w14:textId="3AA0D189" w:rsidR="00AD2080" w:rsidRPr="005E3661" w:rsidRDefault="00AD2080" w:rsidP="00AD2080">
            <w:pPr>
              <w:jc w:val="left"/>
              <w:rPr>
                <w:rFonts w:eastAsia="SimSun"/>
                <w:lang w:eastAsia="zh-CN"/>
              </w:rPr>
            </w:pPr>
            <w:r w:rsidRPr="00E33D0F">
              <w:t>Legal and professional fees</w:t>
            </w:r>
          </w:p>
        </w:tc>
        <w:tc>
          <w:tcPr>
            <w:tcW w:w="787" w:type="pct"/>
            <w:vAlign w:val="center"/>
          </w:tcPr>
          <w:p w14:paraId="14B459CC" w14:textId="7B6F8BDF" w:rsidR="00AD2080" w:rsidRPr="00787AD1" w:rsidRDefault="00AD2080" w:rsidP="00AD2080">
            <w:pPr>
              <w:jc w:val="right"/>
            </w:pPr>
            <w:r>
              <w:rPr>
                <w:b/>
                <w:bCs/>
                <w:color w:val="000000"/>
              </w:rPr>
              <w:t>365,680</w:t>
            </w:r>
          </w:p>
        </w:tc>
        <w:tc>
          <w:tcPr>
            <w:tcW w:w="787" w:type="pct"/>
            <w:vAlign w:val="center"/>
          </w:tcPr>
          <w:p w14:paraId="65E5B3C2" w14:textId="125286B5" w:rsidR="00AD2080" w:rsidRPr="00EB34CF" w:rsidRDefault="00AD2080" w:rsidP="00AD2080">
            <w:pPr>
              <w:jc w:val="right"/>
            </w:pPr>
            <w:r>
              <w:rPr>
                <w:color w:val="000000"/>
              </w:rPr>
              <w:t>865,020</w:t>
            </w:r>
          </w:p>
        </w:tc>
      </w:tr>
      <w:tr w:rsidR="00AD2080" w:rsidRPr="005E3661" w14:paraId="7E9E0A82" w14:textId="77777777" w:rsidTr="00DF2D64">
        <w:trPr>
          <w:trHeight w:val="20"/>
        </w:trPr>
        <w:tc>
          <w:tcPr>
            <w:tcW w:w="3426" w:type="pct"/>
            <w:vAlign w:val="bottom"/>
          </w:tcPr>
          <w:p w14:paraId="5A90A5E9" w14:textId="1C2D28FE" w:rsidR="00AD2080" w:rsidRPr="005E3661" w:rsidRDefault="00AD2080" w:rsidP="00AD2080">
            <w:pPr>
              <w:ind w:left="179" w:hanging="179"/>
              <w:jc w:val="left"/>
              <w:rPr>
                <w:rFonts w:eastAsia="SimSun"/>
                <w:lang w:eastAsia="zh-CN"/>
              </w:rPr>
            </w:pPr>
            <w:r w:rsidRPr="00E33D0F">
              <w:t>Depreciation and amortization expense</w:t>
            </w:r>
          </w:p>
        </w:tc>
        <w:tc>
          <w:tcPr>
            <w:tcW w:w="787" w:type="pct"/>
            <w:vAlign w:val="center"/>
          </w:tcPr>
          <w:p w14:paraId="7A39B4A8" w14:textId="5DAD4C47" w:rsidR="00AD2080" w:rsidRPr="00787AD1" w:rsidRDefault="00AD2080" w:rsidP="00AD2080">
            <w:pPr>
              <w:jc w:val="right"/>
            </w:pPr>
            <w:r>
              <w:rPr>
                <w:b/>
                <w:bCs/>
                <w:color w:val="000000"/>
              </w:rPr>
              <w:t>53,645</w:t>
            </w:r>
          </w:p>
        </w:tc>
        <w:tc>
          <w:tcPr>
            <w:tcW w:w="787" w:type="pct"/>
            <w:vAlign w:val="center"/>
          </w:tcPr>
          <w:p w14:paraId="12D48925" w14:textId="04468DA9" w:rsidR="00AD2080" w:rsidRPr="00EB34CF" w:rsidRDefault="00AD2080" w:rsidP="00AD2080">
            <w:pPr>
              <w:jc w:val="right"/>
            </w:pPr>
            <w:r>
              <w:rPr>
                <w:color w:val="000000"/>
              </w:rPr>
              <w:t>120,670</w:t>
            </w:r>
          </w:p>
        </w:tc>
      </w:tr>
      <w:tr w:rsidR="00AD2080" w:rsidRPr="005E3661" w14:paraId="2E3B45A7" w14:textId="77777777" w:rsidTr="00DF2D64">
        <w:trPr>
          <w:trHeight w:val="20"/>
        </w:trPr>
        <w:tc>
          <w:tcPr>
            <w:tcW w:w="3426" w:type="pct"/>
            <w:tcBorders>
              <w:bottom w:val="single" w:sz="4" w:space="0" w:color="auto"/>
            </w:tcBorders>
            <w:vAlign w:val="bottom"/>
          </w:tcPr>
          <w:p w14:paraId="75B939EC" w14:textId="568E13A2" w:rsidR="00AD2080" w:rsidRDefault="00AD2080" w:rsidP="00AD2080">
            <w:pPr>
              <w:ind w:left="179" w:hanging="179"/>
              <w:jc w:val="left"/>
              <w:rPr>
                <w:rFonts w:eastAsia="SimSun"/>
                <w:lang w:eastAsia="zh-CN"/>
              </w:rPr>
            </w:pPr>
            <w:r w:rsidRPr="00E33D0F">
              <w:t>Share-based payments</w:t>
            </w:r>
          </w:p>
        </w:tc>
        <w:tc>
          <w:tcPr>
            <w:tcW w:w="787" w:type="pct"/>
            <w:tcBorders>
              <w:bottom w:val="single" w:sz="4" w:space="0" w:color="auto"/>
            </w:tcBorders>
            <w:vAlign w:val="center"/>
          </w:tcPr>
          <w:p w14:paraId="5DF013FC" w14:textId="184AD091" w:rsidR="00AD2080" w:rsidRPr="00787AD1" w:rsidRDefault="00AD2080" w:rsidP="00AD2080">
            <w:pPr>
              <w:jc w:val="right"/>
            </w:pPr>
            <w:r>
              <w:rPr>
                <w:b/>
                <w:bCs/>
                <w:color w:val="000000"/>
              </w:rPr>
              <w:t>123,291</w:t>
            </w:r>
          </w:p>
        </w:tc>
        <w:tc>
          <w:tcPr>
            <w:tcW w:w="787" w:type="pct"/>
            <w:tcBorders>
              <w:bottom w:val="single" w:sz="4" w:space="0" w:color="auto"/>
            </w:tcBorders>
            <w:vAlign w:val="center"/>
          </w:tcPr>
          <w:p w14:paraId="5E3B911F" w14:textId="5808AC62" w:rsidR="00AD2080" w:rsidRPr="00EB34CF" w:rsidRDefault="00AD2080" w:rsidP="00AD2080">
            <w:pPr>
              <w:jc w:val="right"/>
            </w:pPr>
            <w:r>
              <w:rPr>
                <w:color w:val="000000"/>
              </w:rPr>
              <w:t>435,986</w:t>
            </w:r>
          </w:p>
        </w:tc>
      </w:tr>
      <w:tr w:rsidR="00AD2080" w:rsidRPr="005E3661" w14:paraId="74550937" w14:textId="77777777" w:rsidTr="00DF2D64">
        <w:trPr>
          <w:trHeight w:val="20"/>
        </w:trPr>
        <w:tc>
          <w:tcPr>
            <w:tcW w:w="3426" w:type="pct"/>
            <w:tcBorders>
              <w:top w:val="single" w:sz="4" w:space="0" w:color="auto"/>
            </w:tcBorders>
            <w:vAlign w:val="bottom"/>
          </w:tcPr>
          <w:p w14:paraId="73CCCBAE" w14:textId="77777777" w:rsidR="00AD2080" w:rsidRDefault="00AD2080" w:rsidP="00AD2080">
            <w:pPr>
              <w:ind w:left="179" w:hanging="179"/>
              <w:jc w:val="left"/>
              <w:rPr>
                <w:rFonts w:eastAsia="SimSun"/>
                <w:lang w:eastAsia="zh-CN"/>
              </w:rPr>
            </w:pPr>
          </w:p>
        </w:tc>
        <w:tc>
          <w:tcPr>
            <w:tcW w:w="787" w:type="pct"/>
            <w:tcBorders>
              <w:top w:val="single" w:sz="4" w:space="0" w:color="auto"/>
            </w:tcBorders>
            <w:vAlign w:val="center"/>
          </w:tcPr>
          <w:p w14:paraId="12AECED2" w14:textId="77777777" w:rsidR="00AD2080" w:rsidRPr="00787AD1" w:rsidRDefault="00AD2080" w:rsidP="00AD2080">
            <w:pPr>
              <w:jc w:val="right"/>
            </w:pPr>
          </w:p>
        </w:tc>
        <w:tc>
          <w:tcPr>
            <w:tcW w:w="787" w:type="pct"/>
            <w:tcBorders>
              <w:top w:val="single" w:sz="4" w:space="0" w:color="auto"/>
            </w:tcBorders>
            <w:vAlign w:val="center"/>
          </w:tcPr>
          <w:p w14:paraId="57410476" w14:textId="77777777" w:rsidR="00AD2080" w:rsidRPr="00EB34CF" w:rsidRDefault="00AD2080" w:rsidP="00AD2080">
            <w:pPr>
              <w:jc w:val="right"/>
            </w:pPr>
          </w:p>
        </w:tc>
      </w:tr>
      <w:tr w:rsidR="00AD2080" w:rsidRPr="005E3661" w14:paraId="30D489CD" w14:textId="77777777" w:rsidTr="00DF2D64">
        <w:trPr>
          <w:trHeight w:val="20"/>
        </w:trPr>
        <w:tc>
          <w:tcPr>
            <w:tcW w:w="3426" w:type="pct"/>
            <w:vAlign w:val="bottom"/>
          </w:tcPr>
          <w:p w14:paraId="12554A52" w14:textId="17A7AE23" w:rsidR="00AD2080" w:rsidRDefault="00AD2080" w:rsidP="00AD2080">
            <w:pPr>
              <w:ind w:left="179" w:hanging="179"/>
              <w:jc w:val="left"/>
              <w:rPr>
                <w:rFonts w:eastAsia="SimSun"/>
                <w:lang w:eastAsia="zh-CN"/>
              </w:rPr>
            </w:pPr>
            <w:r>
              <w:rPr>
                <w:rFonts w:eastAsia="SimSun"/>
                <w:lang w:eastAsia="zh-CN"/>
              </w:rPr>
              <w:t>Loss from operations</w:t>
            </w:r>
          </w:p>
        </w:tc>
        <w:tc>
          <w:tcPr>
            <w:tcW w:w="787" w:type="pct"/>
            <w:vAlign w:val="center"/>
          </w:tcPr>
          <w:p w14:paraId="6D10EE06" w14:textId="4E50B5B0" w:rsidR="00AD2080" w:rsidRPr="00787AD1" w:rsidRDefault="00AD2080" w:rsidP="00AD2080">
            <w:pPr>
              <w:jc w:val="right"/>
            </w:pPr>
            <w:r>
              <w:rPr>
                <w:b/>
                <w:bCs/>
                <w:color w:val="000000"/>
              </w:rPr>
              <w:t>(1,616,188)</w:t>
            </w:r>
          </w:p>
        </w:tc>
        <w:tc>
          <w:tcPr>
            <w:tcW w:w="787" w:type="pct"/>
            <w:vAlign w:val="center"/>
          </w:tcPr>
          <w:p w14:paraId="3D884BE6" w14:textId="21C97FB3" w:rsidR="00AD2080" w:rsidRPr="00EB34CF" w:rsidRDefault="00AD2080" w:rsidP="00AD2080">
            <w:pPr>
              <w:jc w:val="right"/>
            </w:pPr>
            <w:r>
              <w:rPr>
                <w:color w:val="000000"/>
              </w:rPr>
              <w:t>(1,104,446)</w:t>
            </w:r>
          </w:p>
        </w:tc>
      </w:tr>
      <w:tr w:rsidR="00AD2080" w:rsidRPr="005E3661" w14:paraId="773EAFE2" w14:textId="77777777" w:rsidTr="00DF2D64">
        <w:trPr>
          <w:trHeight w:val="20"/>
        </w:trPr>
        <w:tc>
          <w:tcPr>
            <w:tcW w:w="3426" w:type="pct"/>
            <w:vAlign w:val="bottom"/>
          </w:tcPr>
          <w:p w14:paraId="71D9668B" w14:textId="77777777" w:rsidR="00AD2080" w:rsidRDefault="00AD2080" w:rsidP="00AD2080">
            <w:pPr>
              <w:ind w:left="179" w:hanging="179"/>
              <w:jc w:val="left"/>
              <w:rPr>
                <w:rFonts w:eastAsia="SimSun"/>
                <w:lang w:eastAsia="zh-CN"/>
              </w:rPr>
            </w:pPr>
          </w:p>
        </w:tc>
        <w:tc>
          <w:tcPr>
            <w:tcW w:w="787" w:type="pct"/>
            <w:vAlign w:val="center"/>
          </w:tcPr>
          <w:p w14:paraId="3C3FD271" w14:textId="77777777" w:rsidR="00AD2080" w:rsidRPr="00787AD1" w:rsidRDefault="00AD2080" w:rsidP="00AD2080">
            <w:pPr>
              <w:jc w:val="right"/>
            </w:pPr>
          </w:p>
        </w:tc>
        <w:tc>
          <w:tcPr>
            <w:tcW w:w="787" w:type="pct"/>
            <w:vAlign w:val="center"/>
          </w:tcPr>
          <w:p w14:paraId="7778FAE9" w14:textId="77777777" w:rsidR="00AD2080" w:rsidRPr="00EB34CF" w:rsidRDefault="00AD2080" w:rsidP="00AD2080">
            <w:pPr>
              <w:jc w:val="right"/>
            </w:pPr>
          </w:p>
        </w:tc>
      </w:tr>
      <w:tr w:rsidR="00AD2080" w:rsidRPr="005E3661" w14:paraId="4991E393" w14:textId="77777777" w:rsidTr="00DF2D64">
        <w:trPr>
          <w:trHeight w:val="20"/>
        </w:trPr>
        <w:tc>
          <w:tcPr>
            <w:tcW w:w="3426" w:type="pct"/>
            <w:vAlign w:val="bottom"/>
          </w:tcPr>
          <w:p w14:paraId="3DB79F77" w14:textId="55353F70" w:rsidR="00AD2080" w:rsidRDefault="00AD2080" w:rsidP="00AD2080">
            <w:pPr>
              <w:ind w:left="179" w:hanging="179"/>
              <w:jc w:val="left"/>
              <w:rPr>
                <w:rFonts w:eastAsia="SimSun"/>
                <w:lang w:eastAsia="zh-CN"/>
              </w:rPr>
            </w:pPr>
            <w:r w:rsidRPr="00E33D0F">
              <w:t>Provision for credit losses</w:t>
            </w:r>
          </w:p>
        </w:tc>
        <w:tc>
          <w:tcPr>
            <w:tcW w:w="787" w:type="pct"/>
            <w:vAlign w:val="center"/>
          </w:tcPr>
          <w:p w14:paraId="486D5FDD" w14:textId="1ED2E94A" w:rsidR="00AD2080" w:rsidRPr="00787AD1" w:rsidRDefault="00AD2080" w:rsidP="00AD2080">
            <w:pPr>
              <w:jc w:val="right"/>
            </w:pPr>
            <w:r>
              <w:rPr>
                <w:b/>
                <w:bCs/>
                <w:color w:val="000000"/>
              </w:rPr>
              <w:t>4,521</w:t>
            </w:r>
          </w:p>
        </w:tc>
        <w:tc>
          <w:tcPr>
            <w:tcW w:w="787" w:type="pct"/>
            <w:vAlign w:val="center"/>
          </w:tcPr>
          <w:p w14:paraId="27036DA4" w14:textId="34166CA6" w:rsidR="00AD2080" w:rsidRPr="00EB34CF" w:rsidRDefault="00AD2080" w:rsidP="00AD2080">
            <w:pPr>
              <w:jc w:val="right"/>
            </w:pPr>
            <w:r>
              <w:rPr>
                <w:b/>
                <w:bCs/>
                <w:color w:val="000000"/>
              </w:rPr>
              <w:t>-</w:t>
            </w:r>
          </w:p>
        </w:tc>
      </w:tr>
      <w:tr w:rsidR="00AD2080" w:rsidRPr="005E3661" w14:paraId="5965FE38" w14:textId="77777777" w:rsidTr="00DF2D64">
        <w:trPr>
          <w:trHeight w:val="20"/>
        </w:trPr>
        <w:tc>
          <w:tcPr>
            <w:tcW w:w="3426" w:type="pct"/>
            <w:vAlign w:val="bottom"/>
          </w:tcPr>
          <w:p w14:paraId="4EF56301" w14:textId="76CF84A0" w:rsidR="00AD2080" w:rsidRDefault="00AD2080" w:rsidP="00AD2080">
            <w:pPr>
              <w:ind w:left="179" w:hanging="179"/>
              <w:jc w:val="left"/>
              <w:rPr>
                <w:rFonts w:eastAsia="SimSun"/>
                <w:lang w:eastAsia="zh-CN"/>
              </w:rPr>
            </w:pPr>
            <w:r w:rsidRPr="00E33D0F">
              <w:t>Loss (gain) on change in fair value of warrant liability</w:t>
            </w:r>
          </w:p>
        </w:tc>
        <w:tc>
          <w:tcPr>
            <w:tcW w:w="787" w:type="pct"/>
            <w:vAlign w:val="center"/>
          </w:tcPr>
          <w:p w14:paraId="36E3FA46" w14:textId="001AEB99" w:rsidR="00AD2080" w:rsidRPr="00787AD1" w:rsidRDefault="00AD2080" w:rsidP="00AD2080">
            <w:pPr>
              <w:jc w:val="right"/>
            </w:pPr>
            <w:r>
              <w:rPr>
                <w:b/>
                <w:bCs/>
                <w:color w:val="000000"/>
              </w:rPr>
              <w:t>(651,385)</w:t>
            </w:r>
          </w:p>
        </w:tc>
        <w:tc>
          <w:tcPr>
            <w:tcW w:w="787" w:type="pct"/>
            <w:vAlign w:val="center"/>
          </w:tcPr>
          <w:p w14:paraId="63053242" w14:textId="6A9290C9" w:rsidR="00AD2080" w:rsidRPr="00EB34CF" w:rsidRDefault="00AD2080" w:rsidP="00AD2080">
            <w:pPr>
              <w:jc w:val="right"/>
            </w:pPr>
            <w:r>
              <w:rPr>
                <w:color w:val="000000"/>
              </w:rPr>
              <w:t>23,793,165</w:t>
            </w:r>
          </w:p>
        </w:tc>
      </w:tr>
      <w:tr w:rsidR="00AD2080" w:rsidRPr="005E3661" w14:paraId="3AAFE6E2" w14:textId="77777777" w:rsidTr="00DF2D64">
        <w:trPr>
          <w:trHeight w:val="20"/>
        </w:trPr>
        <w:tc>
          <w:tcPr>
            <w:tcW w:w="3426" w:type="pct"/>
            <w:vAlign w:val="bottom"/>
          </w:tcPr>
          <w:p w14:paraId="5171551C" w14:textId="51ED4F10" w:rsidR="00AD2080" w:rsidRDefault="00AD2080" w:rsidP="00AD2080">
            <w:pPr>
              <w:ind w:left="179" w:hanging="179"/>
              <w:jc w:val="left"/>
              <w:rPr>
                <w:rFonts w:eastAsia="SimSun"/>
                <w:lang w:eastAsia="zh-CN"/>
              </w:rPr>
            </w:pPr>
            <w:r>
              <w:t>Loss</w:t>
            </w:r>
            <w:r w:rsidRPr="00E33D0F">
              <w:t xml:space="preserve"> on change in fair value of conversion feature</w:t>
            </w:r>
          </w:p>
        </w:tc>
        <w:tc>
          <w:tcPr>
            <w:tcW w:w="787" w:type="pct"/>
            <w:vAlign w:val="center"/>
          </w:tcPr>
          <w:p w14:paraId="03DAE7C5" w14:textId="1438C34E" w:rsidR="00AD2080" w:rsidRPr="00242303" w:rsidRDefault="00AD2080" w:rsidP="00AD2080">
            <w:pPr>
              <w:jc w:val="right"/>
              <w:rPr>
                <w:highlight w:val="yellow"/>
              </w:rPr>
            </w:pPr>
            <w:r>
              <w:rPr>
                <w:b/>
                <w:bCs/>
                <w:color w:val="000000"/>
              </w:rPr>
              <w:t>679,003</w:t>
            </w:r>
          </w:p>
        </w:tc>
        <w:tc>
          <w:tcPr>
            <w:tcW w:w="787" w:type="pct"/>
            <w:vAlign w:val="center"/>
          </w:tcPr>
          <w:p w14:paraId="7FFA26D0" w14:textId="1DEF1C89" w:rsidR="00AD2080" w:rsidRPr="00EB34CF" w:rsidRDefault="00AD2080" w:rsidP="00AD2080">
            <w:pPr>
              <w:jc w:val="right"/>
            </w:pPr>
            <w:r>
              <w:rPr>
                <w:color w:val="000000"/>
              </w:rPr>
              <w:t>-</w:t>
            </w:r>
          </w:p>
        </w:tc>
      </w:tr>
      <w:tr w:rsidR="00AD2080" w:rsidRPr="005E3661" w14:paraId="4F8AB1D5" w14:textId="77777777" w:rsidTr="00DF2D64">
        <w:trPr>
          <w:trHeight w:val="20"/>
        </w:trPr>
        <w:tc>
          <w:tcPr>
            <w:tcW w:w="3426" w:type="pct"/>
            <w:vAlign w:val="bottom"/>
          </w:tcPr>
          <w:p w14:paraId="3BBF442A" w14:textId="6BC51854" w:rsidR="00AD2080" w:rsidRDefault="00AD2080" w:rsidP="00AD2080">
            <w:pPr>
              <w:ind w:left="179" w:hanging="179"/>
              <w:jc w:val="left"/>
              <w:rPr>
                <w:rFonts w:eastAsia="SimSun"/>
                <w:lang w:eastAsia="zh-CN"/>
              </w:rPr>
            </w:pPr>
            <w:r w:rsidRPr="00E33D0F">
              <w:t>Impairment of property and equipment</w:t>
            </w:r>
          </w:p>
        </w:tc>
        <w:tc>
          <w:tcPr>
            <w:tcW w:w="787" w:type="pct"/>
            <w:vAlign w:val="center"/>
          </w:tcPr>
          <w:p w14:paraId="33A6DDAB" w14:textId="48F9E4E5" w:rsidR="00AD2080" w:rsidRPr="00787AD1" w:rsidRDefault="00AD2080" w:rsidP="00AD2080">
            <w:pPr>
              <w:jc w:val="right"/>
            </w:pPr>
            <w:r>
              <w:rPr>
                <w:b/>
                <w:bCs/>
                <w:color w:val="000000"/>
              </w:rPr>
              <w:t>19,336</w:t>
            </w:r>
          </w:p>
        </w:tc>
        <w:tc>
          <w:tcPr>
            <w:tcW w:w="787" w:type="pct"/>
            <w:vAlign w:val="center"/>
          </w:tcPr>
          <w:p w14:paraId="2392BDDE" w14:textId="7A1065A5" w:rsidR="00AD2080" w:rsidRPr="00EB34CF" w:rsidRDefault="00AD2080" w:rsidP="00AD2080">
            <w:pPr>
              <w:jc w:val="right"/>
            </w:pPr>
            <w:r>
              <w:rPr>
                <w:color w:val="000000"/>
              </w:rPr>
              <w:t>-</w:t>
            </w:r>
          </w:p>
        </w:tc>
      </w:tr>
      <w:tr w:rsidR="00AD2080" w:rsidRPr="005E3661" w14:paraId="6BB158EB" w14:textId="77777777" w:rsidTr="00DF2D64">
        <w:trPr>
          <w:trHeight w:val="20"/>
        </w:trPr>
        <w:tc>
          <w:tcPr>
            <w:tcW w:w="3426" w:type="pct"/>
            <w:vAlign w:val="bottom"/>
          </w:tcPr>
          <w:p w14:paraId="7FA1BDB5" w14:textId="03434C8D" w:rsidR="00AD2080" w:rsidRDefault="00AD2080" w:rsidP="00AD2080">
            <w:pPr>
              <w:ind w:left="179" w:hanging="179"/>
              <w:jc w:val="left"/>
              <w:rPr>
                <w:rFonts w:eastAsia="SimSun"/>
                <w:lang w:eastAsia="zh-CN"/>
              </w:rPr>
            </w:pPr>
            <w:r w:rsidRPr="00E33D0F">
              <w:t>Financing expense</w:t>
            </w:r>
          </w:p>
        </w:tc>
        <w:tc>
          <w:tcPr>
            <w:tcW w:w="787" w:type="pct"/>
            <w:vAlign w:val="center"/>
          </w:tcPr>
          <w:p w14:paraId="7AF7D611" w14:textId="38E40775" w:rsidR="00AD2080" w:rsidRPr="00787AD1" w:rsidRDefault="00AD2080" w:rsidP="00AD2080">
            <w:pPr>
              <w:jc w:val="right"/>
            </w:pPr>
            <w:r>
              <w:rPr>
                <w:b/>
                <w:bCs/>
                <w:color w:val="000000"/>
              </w:rPr>
              <w:t>700,542</w:t>
            </w:r>
          </w:p>
        </w:tc>
        <w:tc>
          <w:tcPr>
            <w:tcW w:w="787" w:type="pct"/>
            <w:vAlign w:val="center"/>
          </w:tcPr>
          <w:p w14:paraId="10DC3A32" w14:textId="7A7CC856" w:rsidR="00AD2080" w:rsidRPr="00EB34CF" w:rsidRDefault="00AD2080" w:rsidP="00AD2080">
            <w:pPr>
              <w:jc w:val="right"/>
            </w:pPr>
            <w:r>
              <w:rPr>
                <w:b/>
                <w:bCs/>
                <w:color w:val="000000"/>
              </w:rPr>
              <w:t>-</w:t>
            </w:r>
          </w:p>
        </w:tc>
      </w:tr>
      <w:tr w:rsidR="00AD2080" w:rsidRPr="005E3661" w14:paraId="2DBF1952" w14:textId="77777777" w:rsidTr="00DF2D64">
        <w:trPr>
          <w:trHeight w:val="20"/>
        </w:trPr>
        <w:tc>
          <w:tcPr>
            <w:tcW w:w="3426" w:type="pct"/>
            <w:tcBorders>
              <w:bottom w:val="single" w:sz="4" w:space="0" w:color="auto"/>
            </w:tcBorders>
            <w:vAlign w:val="bottom"/>
          </w:tcPr>
          <w:p w14:paraId="5D7358D0" w14:textId="47DC5E6A" w:rsidR="00AD2080" w:rsidRDefault="00AD2080" w:rsidP="00AD2080">
            <w:pPr>
              <w:ind w:left="179" w:hanging="179"/>
              <w:jc w:val="left"/>
              <w:rPr>
                <w:rFonts w:eastAsia="SimSun"/>
                <w:lang w:eastAsia="zh-CN"/>
              </w:rPr>
            </w:pPr>
            <w:r w:rsidRPr="00E33D0F">
              <w:t>Other (income) expenses, net</w:t>
            </w:r>
          </w:p>
        </w:tc>
        <w:tc>
          <w:tcPr>
            <w:tcW w:w="787" w:type="pct"/>
            <w:tcBorders>
              <w:bottom w:val="single" w:sz="4" w:space="0" w:color="auto"/>
            </w:tcBorders>
            <w:vAlign w:val="center"/>
          </w:tcPr>
          <w:p w14:paraId="2D2310E2" w14:textId="0FA5701B" w:rsidR="00AD2080" w:rsidRPr="00787AD1" w:rsidRDefault="00AD2080" w:rsidP="00AD2080">
            <w:pPr>
              <w:jc w:val="right"/>
            </w:pPr>
            <w:r>
              <w:rPr>
                <w:b/>
                <w:bCs/>
                <w:color w:val="000000"/>
              </w:rPr>
              <w:t>(69,280)</w:t>
            </w:r>
          </w:p>
        </w:tc>
        <w:tc>
          <w:tcPr>
            <w:tcW w:w="787" w:type="pct"/>
            <w:tcBorders>
              <w:bottom w:val="single" w:sz="4" w:space="0" w:color="auto"/>
            </w:tcBorders>
            <w:vAlign w:val="center"/>
          </w:tcPr>
          <w:p w14:paraId="354B8877" w14:textId="15C5B06E" w:rsidR="00AD2080" w:rsidRPr="00364FC3" w:rsidRDefault="00AD2080" w:rsidP="00AD2080">
            <w:pPr>
              <w:jc w:val="right"/>
            </w:pPr>
            <w:r>
              <w:rPr>
                <w:color w:val="000000"/>
              </w:rPr>
              <w:t>30,652</w:t>
            </w:r>
          </w:p>
        </w:tc>
      </w:tr>
      <w:tr w:rsidR="00AD2080" w:rsidRPr="005E3661" w14:paraId="60530B77" w14:textId="77777777" w:rsidTr="00DF2D64">
        <w:trPr>
          <w:trHeight w:val="20"/>
        </w:trPr>
        <w:tc>
          <w:tcPr>
            <w:tcW w:w="3426" w:type="pct"/>
            <w:tcBorders>
              <w:top w:val="single" w:sz="4" w:space="0" w:color="auto"/>
            </w:tcBorders>
            <w:vAlign w:val="bottom"/>
          </w:tcPr>
          <w:p w14:paraId="19DBDDFA" w14:textId="77777777" w:rsidR="00AD2080" w:rsidRPr="00E33D0F" w:rsidRDefault="00AD2080" w:rsidP="00AD2080">
            <w:pPr>
              <w:ind w:left="179" w:hanging="179"/>
              <w:jc w:val="left"/>
            </w:pPr>
          </w:p>
        </w:tc>
        <w:tc>
          <w:tcPr>
            <w:tcW w:w="787" w:type="pct"/>
            <w:tcBorders>
              <w:top w:val="single" w:sz="4" w:space="0" w:color="auto"/>
            </w:tcBorders>
            <w:vAlign w:val="center"/>
          </w:tcPr>
          <w:p w14:paraId="22DF74B9" w14:textId="77777777" w:rsidR="00AD2080" w:rsidRDefault="00AD2080" w:rsidP="00AD2080">
            <w:pPr>
              <w:jc w:val="right"/>
              <w:rPr>
                <w:b/>
                <w:bCs/>
                <w:color w:val="000000"/>
              </w:rPr>
            </w:pPr>
          </w:p>
        </w:tc>
        <w:tc>
          <w:tcPr>
            <w:tcW w:w="787" w:type="pct"/>
            <w:tcBorders>
              <w:top w:val="single" w:sz="4" w:space="0" w:color="auto"/>
            </w:tcBorders>
            <w:vAlign w:val="center"/>
          </w:tcPr>
          <w:p w14:paraId="718D99D2" w14:textId="77777777" w:rsidR="00AD2080" w:rsidRDefault="00AD2080" w:rsidP="00AD2080">
            <w:pPr>
              <w:jc w:val="right"/>
              <w:rPr>
                <w:color w:val="000000"/>
              </w:rPr>
            </w:pPr>
          </w:p>
        </w:tc>
      </w:tr>
      <w:tr w:rsidR="00AD2080" w:rsidRPr="005E3661" w14:paraId="2BCFED4F" w14:textId="77777777" w:rsidTr="00DF2D64">
        <w:trPr>
          <w:trHeight w:val="20"/>
        </w:trPr>
        <w:tc>
          <w:tcPr>
            <w:tcW w:w="3426" w:type="pct"/>
            <w:vAlign w:val="bottom"/>
          </w:tcPr>
          <w:p w14:paraId="14FF8D0B" w14:textId="5E8DAD0C" w:rsidR="00AD2080" w:rsidRPr="00E33D0F" w:rsidRDefault="00AD2080" w:rsidP="00AD2080">
            <w:pPr>
              <w:ind w:left="179" w:hanging="179"/>
              <w:jc w:val="left"/>
            </w:pPr>
            <w:r w:rsidRPr="005E3661">
              <w:t>Net loss from continuing operations</w:t>
            </w:r>
          </w:p>
        </w:tc>
        <w:tc>
          <w:tcPr>
            <w:tcW w:w="787" w:type="pct"/>
            <w:vAlign w:val="center"/>
          </w:tcPr>
          <w:p w14:paraId="2AD29FE3" w14:textId="48CD6AE4" w:rsidR="00AD2080" w:rsidRPr="00787AD1" w:rsidRDefault="00AD2080" w:rsidP="00AD2080">
            <w:pPr>
              <w:jc w:val="right"/>
            </w:pPr>
            <w:r>
              <w:rPr>
                <w:b/>
                <w:bCs/>
                <w:color w:val="000000"/>
              </w:rPr>
              <w:t>(2,298,925)</w:t>
            </w:r>
          </w:p>
        </w:tc>
        <w:tc>
          <w:tcPr>
            <w:tcW w:w="787" w:type="pct"/>
            <w:vAlign w:val="center"/>
          </w:tcPr>
          <w:p w14:paraId="6D4C867A" w14:textId="75E2A478" w:rsidR="00AD2080" w:rsidRPr="00EB34CF" w:rsidRDefault="00AD2080" w:rsidP="00AD2080">
            <w:pPr>
              <w:jc w:val="right"/>
            </w:pPr>
            <w:r>
              <w:rPr>
                <w:color w:val="000000"/>
              </w:rPr>
              <w:t>(24,928,263)</w:t>
            </w:r>
          </w:p>
        </w:tc>
      </w:tr>
      <w:tr w:rsidR="00AD2080" w:rsidRPr="005E3661" w14:paraId="478AAB02" w14:textId="77777777" w:rsidTr="00DF2D64">
        <w:trPr>
          <w:trHeight w:val="20"/>
        </w:trPr>
        <w:tc>
          <w:tcPr>
            <w:tcW w:w="3426" w:type="pct"/>
            <w:vAlign w:val="bottom"/>
          </w:tcPr>
          <w:p w14:paraId="05C501B7" w14:textId="74EB34C4" w:rsidR="00AD2080" w:rsidRPr="00E33D0F" w:rsidRDefault="00AD2080" w:rsidP="00AD2080">
            <w:pPr>
              <w:ind w:left="179" w:hanging="179"/>
              <w:jc w:val="left"/>
            </w:pPr>
            <w:r w:rsidRPr="005E3661">
              <w:t xml:space="preserve">Net </w:t>
            </w:r>
            <w:r>
              <w:t>income (loss)</w:t>
            </w:r>
            <w:r w:rsidRPr="005E3661">
              <w:t xml:space="preserve"> from discontinu</w:t>
            </w:r>
            <w:r>
              <w:t>ed</w:t>
            </w:r>
            <w:r w:rsidRPr="005E3661">
              <w:t xml:space="preserve"> operations </w:t>
            </w:r>
          </w:p>
        </w:tc>
        <w:tc>
          <w:tcPr>
            <w:tcW w:w="787" w:type="pct"/>
            <w:vAlign w:val="center"/>
          </w:tcPr>
          <w:p w14:paraId="71DF7190" w14:textId="203607D9" w:rsidR="00AD2080" w:rsidRPr="00787AD1" w:rsidRDefault="00AD2080" w:rsidP="00AD2080">
            <w:pPr>
              <w:jc w:val="right"/>
            </w:pPr>
            <w:r>
              <w:rPr>
                <w:b/>
                <w:bCs/>
                <w:color w:val="000000"/>
              </w:rPr>
              <w:t>133,915</w:t>
            </w:r>
          </w:p>
        </w:tc>
        <w:tc>
          <w:tcPr>
            <w:tcW w:w="787" w:type="pct"/>
            <w:vAlign w:val="center"/>
          </w:tcPr>
          <w:p w14:paraId="2414A856" w14:textId="32206D07" w:rsidR="00AD2080" w:rsidRPr="00EB34CF" w:rsidRDefault="00AD2080" w:rsidP="00AD2080">
            <w:pPr>
              <w:jc w:val="right"/>
            </w:pPr>
            <w:r>
              <w:rPr>
                <w:color w:val="000000"/>
              </w:rPr>
              <w:t>(285,293)</w:t>
            </w:r>
          </w:p>
        </w:tc>
      </w:tr>
      <w:tr w:rsidR="00AD2080" w:rsidRPr="005E3661" w14:paraId="088D4E75" w14:textId="77777777" w:rsidTr="00DF2D64">
        <w:trPr>
          <w:trHeight w:val="20"/>
        </w:trPr>
        <w:tc>
          <w:tcPr>
            <w:tcW w:w="3426" w:type="pct"/>
            <w:vAlign w:val="bottom"/>
          </w:tcPr>
          <w:p w14:paraId="0065E370" w14:textId="77777777" w:rsidR="00AD2080" w:rsidRPr="00E33D0F" w:rsidRDefault="00AD2080" w:rsidP="00AD2080">
            <w:pPr>
              <w:ind w:left="179" w:hanging="179"/>
              <w:jc w:val="left"/>
            </w:pPr>
          </w:p>
        </w:tc>
        <w:tc>
          <w:tcPr>
            <w:tcW w:w="787" w:type="pct"/>
            <w:vAlign w:val="center"/>
          </w:tcPr>
          <w:p w14:paraId="5FD2ED81" w14:textId="77777777" w:rsidR="00AD2080" w:rsidRPr="00787AD1" w:rsidRDefault="00AD2080" w:rsidP="00AD2080">
            <w:pPr>
              <w:jc w:val="right"/>
            </w:pPr>
          </w:p>
        </w:tc>
        <w:tc>
          <w:tcPr>
            <w:tcW w:w="787" w:type="pct"/>
            <w:vAlign w:val="center"/>
          </w:tcPr>
          <w:p w14:paraId="39EE5DB2" w14:textId="77777777" w:rsidR="00AD2080" w:rsidRPr="00EB34CF" w:rsidRDefault="00AD2080" w:rsidP="00AD2080">
            <w:pPr>
              <w:jc w:val="right"/>
            </w:pPr>
          </w:p>
        </w:tc>
      </w:tr>
      <w:tr w:rsidR="00AD2080" w:rsidRPr="005E3661" w14:paraId="77B50D10" w14:textId="77777777" w:rsidTr="00DF2D64">
        <w:trPr>
          <w:trHeight w:val="20"/>
        </w:trPr>
        <w:tc>
          <w:tcPr>
            <w:tcW w:w="3426" w:type="pct"/>
            <w:tcBorders>
              <w:bottom w:val="single" w:sz="4" w:space="0" w:color="auto"/>
            </w:tcBorders>
            <w:vAlign w:val="bottom"/>
          </w:tcPr>
          <w:p w14:paraId="628356D9" w14:textId="3939991A" w:rsidR="00AD2080" w:rsidRPr="00E33D0F" w:rsidRDefault="00AD2080" w:rsidP="00AD2080">
            <w:pPr>
              <w:ind w:left="179" w:hanging="179"/>
              <w:jc w:val="left"/>
            </w:pPr>
            <w:r w:rsidRPr="005E3661">
              <w:t>Foreign currency translation</w:t>
            </w:r>
          </w:p>
        </w:tc>
        <w:tc>
          <w:tcPr>
            <w:tcW w:w="787" w:type="pct"/>
            <w:tcBorders>
              <w:bottom w:val="single" w:sz="4" w:space="0" w:color="auto"/>
            </w:tcBorders>
            <w:vAlign w:val="center"/>
          </w:tcPr>
          <w:p w14:paraId="63A7A2BD" w14:textId="4A9A76BB" w:rsidR="00AD2080" w:rsidRPr="00787AD1" w:rsidRDefault="00AD2080" w:rsidP="00AD2080">
            <w:pPr>
              <w:jc w:val="right"/>
            </w:pPr>
            <w:r>
              <w:rPr>
                <w:b/>
                <w:bCs/>
                <w:color w:val="000000"/>
              </w:rPr>
              <w:t>(56,756)</w:t>
            </w:r>
          </w:p>
        </w:tc>
        <w:tc>
          <w:tcPr>
            <w:tcW w:w="787" w:type="pct"/>
            <w:tcBorders>
              <w:bottom w:val="single" w:sz="4" w:space="0" w:color="auto"/>
            </w:tcBorders>
            <w:vAlign w:val="center"/>
          </w:tcPr>
          <w:p w14:paraId="311B19AF" w14:textId="2BC4AAA8" w:rsidR="00AD2080" w:rsidRPr="00EB34CF" w:rsidRDefault="00AD2080" w:rsidP="00AD2080">
            <w:pPr>
              <w:jc w:val="right"/>
            </w:pPr>
            <w:r>
              <w:rPr>
                <w:color w:val="000000"/>
              </w:rPr>
              <w:t>52</w:t>
            </w:r>
          </w:p>
        </w:tc>
      </w:tr>
      <w:tr w:rsidR="00AD2080" w:rsidRPr="005E3661" w14:paraId="036AE01A" w14:textId="77777777" w:rsidTr="00DF2D64">
        <w:trPr>
          <w:trHeight w:val="20"/>
        </w:trPr>
        <w:tc>
          <w:tcPr>
            <w:tcW w:w="3426" w:type="pct"/>
            <w:tcBorders>
              <w:top w:val="single" w:sz="4" w:space="0" w:color="auto"/>
              <w:bottom w:val="single" w:sz="12" w:space="0" w:color="auto"/>
            </w:tcBorders>
            <w:vAlign w:val="bottom"/>
          </w:tcPr>
          <w:p w14:paraId="7C4E362A" w14:textId="1B5471D4" w:rsidR="00AD2080" w:rsidRPr="00E33D0F" w:rsidRDefault="00AD2080" w:rsidP="00AD2080">
            <w:pPr>
              <w:ind w:left="179" w:hanging="179"/>
              <w:jc w:val="left"/>
            </w:pPr>
            <w:r w:rsidRPr="005E3661">
              <w:t>Comprehensive loss for the period</w:t>
            </w:r>
          </w:p>
        </w:tc>
        <w:tc>
          <w:tcPr>
            <w:tcW w:w="787" w:type="pct"/>
            <w:tcBorders>
              <w:top w:val="single" w:sz="4" w:space="0" w:color="auto"/>
              <w:bottom w:val="single" w:sz="12" w:space="0" w:color="auto"/>
            </w:tcBorders>
            <w:vAlign w:val="center"/>
          </w:tcPr>
          <w:p w14:paraId="5F80E5A3" w14:textId="7FBE7CC9" w:rsidR="00AD2080" w:rsidRPr="00787AD1" w:rsidRDefault="00AD2080" w:rsidP="00AD2080">
            <w:pPr>
              <w:jc w:val="right"/>
            </w:pPr>
            <w:r>
              <w:rPr>
                <w:b/>
                <w:bCs/>
                <w:color w:val="000000"/>
              </w:rPr>
              <w:t>(2,221,766)</w:t>
            </w:r>
          </w:p>
        </w:tc>
        <w:tc>
          <w:tcPr>
            <w:tcW w:w="787" w:type="pct"/>
            <w:tcBorders>
              <w:top w:val="single" w:sz="4" w:space="0" w:color="auto"/>
              <w:bottom w:val="single" w:sz="12" w:space="0" w:color="auto"/>
            </w:tcBorders>
            <w:vAlign w:val="center"/>
          </w:tcPr>
          <w:p w14:paraId="6EF68C22" w14:textId="56A56FC4" w:rsidR="00AD2080" w:rsidRPr="00EB34CF" w:rsidRDefault="00AD2080" w:rsidP="00AD2080">
            <w:pPr>
              <w:jc w:val="right"/>
            </w:pPr>
            <w:r>
              <w:rPr>
                <w:color w:val="000000"/>
              </w:rPr>
              <w:t>(25,213,504)</w:t>
            </w:r>
          </w:p>
        </w:tc>
      </w:tr>
    </w:tbl>
    <w:p w14:paraId="3CE922D1" w14:textId="5AF5791F" w:rsidR="00150108" w:rsidRPr="00327130" w:rsidRDefault="0063636A" w:rsidP="00327130">
      <w:pPr>
        <w:pStyle w:val="Heading3"/>
      </w:pPr>
      <w:r>
        <w:lastRenderedPageBreak/>
        <w:t>R</w:t>
      </w:r>
      <w:r w:rsidR="00150108" w:rsidRPr="00327130">
        <w:t>evenue</w:t>
      </w:r>
    </w:p>
    <w:p w14:paraId="56E9719C" w14:textId="77777777" w:rsidR="00150108" w:rsidRPr="005D3BD4" w:rsidRDefault="00150108" w:rsidP="00B8542F">
      <w:pPr>
        <w:rPr>
          <w:sz w:val="14"/>
          <w:szCs w:val="14"/>
        </w:rPr>
      </w:pPr>
    </w:p>
    <w:p w14:paraId="1C6F117F" w14:textId="393853FF" w:rsidR="0062478E" w:rsidRPr="005E3661" w:rsidRDefault="0062478E" w:rsidP="0062478E">
      <w:r w:rsidRPr="005E3661">
        <w:t>Revenue in Q</w:t>
      </w:r>
      <w:r>
        <w:t>1</w:t>
      </w:r>
      <w:r w:rsidRPr="005E3661">
        <w:t xml:space="preserve"> 202</w:t>
      </w:r>
      <w:r>
        <w:t>2</w:t>
      </w:r>
      <w:r w:rsidRPr="005E3661">
        <w:t xml:space="preserve"> </w:t>
      </w:r>
      <w:r>
        <w:t>was</w:t>
      </w:r>
      <w:r w:rsidRPr="005E3661">
        <w:t xml:space="preserve"> </w:t>
      </w:r>
      <w:r w:rsidRPr="00A2172B">
        <w:t>$</w:t>
      </w:r>
      <w:r w:rsidRPr="0062478E">
        <w:t>1,106,950</w:t>
      </w:r>
      <w:r>
        <w:t xml:space="preserve"> </w:t>
      </w:r>
      <w:r w:rsidRPr="00212BFF">
        <w:t>compared to $</w:t>
      </w:r>
      <w:r w:rsidRPr="0062478E">
        <w:t>1,958,802</w:t>
      </w:r>
      <w:r w:rsidRPr="00212BFF">
        <w:t xml:space="preserve"> in Q</w:t>
      </w:r>
      <w:r>
        <w:t>1</w:t>
      </w:r>
      <w:r w:rsidRPr="00212BFF">
        <w:t xml:space="preserve"> 202</w:t>
      </w:r>
      <w:r>
        <w:t>1</w:t>
      </w:r>
      <w:r w:rsidRPr="00212BFF">
        <w:t xml:space="preserve">. The Company’s revenue was earned from patient visits to existing clinics throughout the Medi-Collective network and from COVID-19 testing performed by Kai Medical. Of </w:t>
      </w:r>
      <w:r>
        <w:t>total revenue in Q</w:t>
      </w:r>
      <w:r w:rsidR="00EB1414">
        <w:t>1</w:t>
      </w:r>
      <w:r>
        <w:t xml:space="preserve"> 202</w:t>
      </w:r>
      <w:r w:rsidR="00EB1414">
        <w:t>2</w:t>
      </w:r>
      <w:r w:rsidRPr="00212BFF">
        <w:t xml:space="preserve">, </w:t>
      </w:r>
      <w:r w:rsidRPr="004F3DFD">
        <w:t>$</w:t>
      </w:r>
      <w:r w:rsidR="006B711B">
        <w:t>149,602</w:t>
      </w:r>
      <w:r>
        <w:t xml:space="preserve"> (202</w:t>
      </w:r>
      <w:r w:rsidR="006B711B">
        <w:t>1</w:t>
      </w:r>
      <w:r>
        <w:t xml:space="preserve"> - $</w:t>
      </w:r>
      <w:r w:rsidR="006B711B" w:rsidRPr="006B711B">
        <w:t>1,703,27</w:t>
      </w:r>
      <w:r w:rsidR="006B711B">
        <w:t>6</w:t>
      </w:r>
      <w:r>
        <w:t>)</w:t>
      </w:r>
      <w:r w:rsidRPr="004F3DFD">
        <w:t xml:space="preserve"> related to COVID-19 testing and $</w:t>
      </w:r>
      <w:r w:rsidR="0024511F" w:rsidRPr="0024511F">
        <w:t>485,127</w:t>
      </w:r>
      <w:r>
        <w:t xml:space="preserve"> (202</w:t>
      </w:r>
      <w:r w:rsidR="0024511F">
        <w:t>1</w:t>
      </w:r>
      <w:r>
        <w:t xml:space="preserve"> - $nil)</w:t>
      </w:r>
      <w:r w:rsidRPr="004F3DFD">
        <w:t xml:space="preserve"> related to the sale of diabetes testing equipment. The remaining revenue of $</w:t>
      </w:r>
      <w:r w:rsidR="00155040" w:rsidRPr="00155040">
        <w:t>472</w:t>
      </w:r>
      <w:r w:rsidR="00155040">
        <w:t>,</w:t>
      </w:r>
      <w:r w:rsidR="00155040" w:rsidRPr="00155040">
        <w:t>221</w:t>
      </w:r>
      <w:r>
        <w:t xml:space="preserve"> (202</w:t>
      </w:r>
      <w:r w:rsidR="00155040">
        <w:t>1</w:t>
      </w:r>
      <w:r>
        <w:t xml:space="preserve"> - $</w:t>
      </w:r>
      <w:r w:rsidR="00155040" w:rsidRPr="00155040">
        <w:t>255,526</w:t>
      </w:r>
      <w:r>
        <w:t>)</w:t>
      </w:r>
      <w:r w:rsidRPr="004F3DFD">
        <w:t xml:space="preserve"> resulted from patient visits at</w:t>
      </w:r>
      <w:r>
        <w:t xml:space="preserve"> clinics.</w:t>
      </w:r>
      <w:r w:rsidR="00155040">
        <w:t xml:space="preserve"> </w:t>
      </w:r>
    </w:p>
    <w:p w14:paraId="4D32E2E0" w14:textId="77777777" w:rsidR="00F61A58" w:rsidRDefault="00F61A58" w:rsidP="00F61A58"/>
    <w:p w14:paraId="0D4A1175" w14:textId="48F4CF6A" w:rsidR="00150108" w:rsidRPr="005E3661" w:rsidRDefault="006255BE" w:rsidP="00327130">
      <w:pPr>
        <w:pStyle w:val="Heading3"/>
      </w:pPr>
      <w:r>
        <w:t xml:space="preserve">Gross margin </w:t>
      </w:r>
    </w:p>
    <w:p w14:paraId="6D8C6DC6" w14:textId="77777777" w:rsidR="00150108" w:rsidRPr="005D3BD4" w:rsidRDefault="00150108" w:rsidP="00B8542F">
      <w:pPr>
        <w:rPr>
          <w:sz w:val="14"/>
          <w:szCs w:val="14"/>
        </w:rPr>
      </w:pPr>
    </w:p>
    <w:p w14:paraId="3F5C2E94" w14:textId="16CF1AAB" w:rsidR="00150108" w:rsidRPr="005E3661" w:rsidRDefault="0020780B" w:rsidP="00B8542F">
      <w:r>
        <w:t xml:space="preserve">Gross </w:t>
      </w:r>
      <w:r w:rsidR="00CB5D56">
        <w:t>margin</w:t>
      </w:r>
      <w:r w:rsidR="008928A1">
        <w:t xml:space="preserve"> </w:t>
      </w:r>
      <w:r>
        <w:t>in Q</w:t>
      </w:r>
      <w:r w:rsidR="00CB5D56">
        <w:t>1</w:t>
      </w:r>
      <w:r>
        <w:t xml:space="preserve"> 202</w:t>
      </w:r>
      <w:r w:rsidR="00CB5D56">
        <w:t>2</w:t>
      </w:r>
      <w:r>
        <w:t xml:space="preserve"> was $</w:t>
      </w:r>
      <w:r w:rsidR="00CB5D56" w:rsidRPr="00CB5D56">
        <w:t>234,871</w:t>
      </w:r>
      <w:r w:rsidR="008928A1">
        <w:t xml:space="preserve"> </w:t>
      </w:r>
      <w:r>
        <w:t xml:space="preserve">compared to </w:t>
      </w:r>
      <w:r w:rsidR="00B44E72">
        <w:t xml:space="preserve">a gross margin of </w:t>
      </w:r>
      <w:r>
        <w:t>$</w:t>
      </w:r>
      <w:r w:rsidR="00CB5D56" w:rsidRPr="00CB5D56">
        <w:t>1,216,435</w:t>
      </w:r>
      <w:r w:rsidR="002D2211" w:rsidRPr="002D2211">
        <w:t xml:space="preserve"> </w:t>
      </w:r>
      <w:r w:rsidR="002D2211">
        <w:t>in</w:t>
      </w:r>
      <w:r>
        <w:t xml:space="preserve"> Q</w:t>
      </w:r>
      <w:r w:rsidR="00CB5D56">
        <w:t>1</w:t>
      </w:r>
      <w:r>
        <w:t xml:space="preserve"> 202</w:t>
      </w:r>
      <w:r w:rsidR="00CB5D56">
        <w:t>1</w:t>
      </w:r>
      <w:r>
        <w:t xml:space="preserve"> and</w:t>
      </w:r>
      <w:r w:rsidR="001F5FAE">
        <w:t xml:space="preserve"> is calculated as revenue less</w:t>
      </w:r>
      <w:r>
        <w:t xml:space="preserve"> the d</w:t>
      </w:r>
      <w:r w:rsidR="00A14980" w:rsidRPr="0020780B">
        <w:t>irect expenses of clinic services</w:t>
      </w:r>
      <w:r>
        <w:t xml:space="preserve"> and</w:t>
      </w:r>
      <w:r w:rsidR="00A14980" w:rsidRPr="0020780B">
        <w:t xml:space="preserve"> product sales</w:t>
      </w:r>
      <w:r w:rsidR="007134B6">
        <w:t>.</w:t>
      </w:r>
      <w:r w:rsidR="00B44E72">
        <w:t xml:space="preserve"> The Company experienced a </w:t>
      </w:r>
      <w:r w:rsidR="00EC6B7B">
        <w:t xml:space="preserve">decrease in </w:t>
      </w:r>
      <w:r w:rsidR="00B44E72">
        <w:t xml:space="preserve">gross </w:t>
      </w:r>
      <w:r w:rsidR="00EC6B7B">
        <w:t>margin compared to prior year period</w:t>
      </w:r>
      <w:r w:rsidR="00B44E72">
        <w:t xml:space="preserve"> due to an increas</w:t>
      </w:r>
      <w:r w:rsidR="009127D6">
        <w:t xml:space="preserve">e in </w:t>
      </w:r>
      <w:r w:rsidR="00920152">
        <w:t>cost of revenue</w:t>
      </w:r>
      <w:r w:rsidR="00B44E72">
        <w:t xml:space="preserve"> with a</w:t>
      </w:r>
      <w:r w:rsidR="009127D6">
        <w:t xml:space="preserve"> </w:t>
      </w:r>
      <w:r w:rsidR="00920152">
        <w:t>significant</w:t>
      </w:r>
      <w:r w:rsidR="00B44E72">
        <w:t xml:space="preserve"> </w:t>
      </w:r>
      <w:r w:rsidR="00920152">
        <w:t>decrease</w:t>
      </w:r>
      <w:r w:rsidR="00B44E72">
        <w:t xml:space="preserve"> in sales in the </w:t>
      </w:r>
      <w:r w:rsidR="009127D6">
        <w:t>D</w:t>
      </w:r>
      <w:r w:rsidR="00B44E72">
        <w:t>iagnostic</w:t>
      </w:r>
      <w:r w:rsidR="009127D6">
        <w:t>s &amp;</w:t>
      </w:r>
      <w:r w:rsidR="00B44E72">
        <w:t xml:space="preserve"> </w:t>
      </w:r>
      <w:r w:rsidR="009127D6">
        <w:t>T</w:t>
      </w:r>
      <w:r w:rsidR="00B44E72">
        <w:t xml:space="preserve">echnology </w:t>
      </w:r>
      <w:r w:rsidR="009127D6">
        <w:t>division</w:t>
      </w:r>
      <w:r w:rsidR="00B44E72">
        <w:t>.</w:t>
      </w:r>
    </w:p>
    <w:p w14:paraId="08542938" w14:textId="77777777" w:rsidR="00BF17A1" w:rsidRPr="005E3661" w:rsidRDefault="00BF17A1" w:rsidP="00B8542F"/>
    <w:p w14:paraId="1B34D3CC" w14:textId="630E40DE" w:rsidR="00150108" w:rsidRDefault="00150108" w:rsidP="00327130">
      <w:pPr>
        <w:pStyle w:val="Heading3"/>
      </w:pPr>
      <w:r w:rsidRPr="005E3661">
        <w:t>Operating expenses</w:t>
      </w:r>
    </w:p>
    <w:p w14:paraId="34DB81C8" w14:textId="640E962B" w:rsidR="009127D6" w:rsidRPr="005D3BD4" w:rsidRDefault="009127D6" w:rsidP="009127D6">
      <w:pPr>
        <w:rPr>
          <w:sz w:val="14"/>
          <w:szCs w:val="14"/>
          <w:lang w:val="en-US"/>
        </w:rPr>
      </w:pPr>
    </w:p>
    <w:p w14:paraId="1EA3D886" w14:textId="2CD44886" w:rsidR="009127D6" w:rsidRPr="009127D6" w:rsidRDefault="009127D6" w:rsidP="009127D6">
      <w:pPr>
        <w:rPr>
          <w:lang w:val="en-US"/>
        </w:rPr>
      </w:pPr>
      <w:r>
        <w:rPr>
          <w:lang w:val="en-US"/>
        </w:rPr>
        <w:t xml:space="preserve">For the </w:t>
      </w:r>
      <w:r w:rsidR="00E111D3">
        <w:rPr>
          <w:lang w:val="en-US"/>
        </w:rPr>
        <w:t>three months</w:t>
      </w:r>
      <w:r>
        <w:rPr>
          <w:lang w:val="en-US"/>
        </w:rPr>
        <w:t xml:space="preserve"> ended </w:t>
      </w:r>
      <w:r w:rsidR="0026126B">
        <w:rPr>
          <w:lang w:val="en-US"/>
        </w:rPr>
        <w:t>March</w:t>
      </w:r>
      <w:r>
        <w:rPr>
          <w:lang w:val="en-US"/>
        </w:rPr>
        <w:t xml:space="preserve"> 31, </w:t>
      </w:r>
      <w:proofErr w:type="gramStart"/>
      <w:r>
        <w:rPr>
          <w:lang w:val="en-US"/>
        </w:rPr>
        <w:t>202</w:t>
      </w:r>
      <w:r w:rsidR="0026126B">
        <w:rPr>
          <w:lang w:val="en-US"/>
        </w:rPr>
        <w:t>2</w:t>
      </w:r>
      <w:proofErr w:type="gramEnd"/>
      <w:r>
        <w:rPr>
          <w:lang w:val="en-US"/>
        </w:rPr>
        <w:t xml:space="preserve"> and 202</w:t>
      </w:r>
      <w:r w:rsidR="0026126B">
        <w:rPr>
          <w:lang w:val="en-US"/>
        </w:rPr>
        <w:t>1</w:t>
      </w:r>
      <w:r>
        <w:rPr>
          <w:lang w:val="en-US"/>
        </w:rPr>
        <w:t>, operating expenses were comprised of the following:</w:t>
      </w:r>
    </w:p>
    <w:p w14:paraId="54ADF161" w14:textId="28F9E847" w:rsidR="00150108" w:rsidRDefault="00150108" w:rsidP="00B8542F"/>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4"/>
        <w:gridCol w:w="1474"/>
        <w:gridCol w:w="1474"/>
        <w:gridCol w:w="1474"/>
        <w:gridCol w:w="1474"/>
      </w:tblGrid>
      <w:tr w:rsidR="00A20AF9" w:rsidRPr="005E3661" w14:paraId="4A50F456" w14:textId="77777777" w:rsidTr="00170494">
        <w:trPr>
          <w:trHeight w:val="20"/>
        </w:trPr>
        <w:tc>
          <w:tcPr>
            <w:tcW w:w="3464" w:type="dxa"/>
            <w:tcBorders>
              <w:top w:val="single" w:sz="4" w:space="0" w:color="auto"/>
              <w:bottom w:val="single" w:sz="12" w:space="0" w:color="auto"/>
            </w:tcBorders>
          </w:tcPr>
          <w:p w14:paraId="77669AB6" w14:textId="77777777" w:rsidR="00A20AF9" w:rsidRPr="005E3661" w:rsidRDefault="00A20AF9" w:rsidP="00EE4AA3"/>
        </w:tc>
        <w:tc>
          <w:tcPr>
            <w:tcW w:w="1474" w:type="dxa"/>
            <w:tcBorders>
              <w:top w:val="single" w:sz="4" w:space="0" w:color="auto"/>
              <w:bottom w:val="single" w:sz="12" w:space="0" w:color="auto"/>
            </w:tcBorders>
          </w:tcPr>
          <w:p w14:paraId="364A25BD" w14:textId="77777777" w:rsidR="00A20AF9" w:rsidRPr="00523B97" w:rsidRDefault="00A20AF9" w:rsidP="00EE4AA3">
            <w:pPr>
              <w:jc w:val="right"/>
              <w:rPr>
                <w:b/>
                <w:bCs/>
              </w:rPr>
            </w:pPr>
          </w:p>
        </w:tc>
        <w:tc>
          <w:tcPr>
            <w:tcW w:w="1474" w:type="dxa"/>
            <w:tcBorders>
              <w:top w:val="single" w:sz="4" w:space="0" w:color="auto"/>
              <w:bottom w:val="single" w:sz="12" w:space="0" w:color="auto"/>
            </w:tcBorders>
          </w:tcPr>
          <w:p w14:paraId="5596939C" w14:textId="77777777" w:rsidR="00A20AF9" w:rsidRPr="00787AD1" w:rsidRDefault="00A20AF9" w:rsidP="00EE4AA3">
            <w:pPr>
              <w:jc w:val="right"/>
              <w:rPr>
                <w:b/>
                <w:bCs/>
              </w:rPr>
            </w:pPr>
          </w:p>
        </w:tc>
        <w:tc>
          <w:tcPr>
            <w:tcW w:w="1474" w:type="dxa"/>
            <w:tcBorders>
              <w:top w:val="single" w:sz="4" w:space="0" w:color="auto"/>
              <w:bottom w:val="single" w:sz="12" w:space="0" w:color="auto"/>
            </w:tcBorders>
          </w:tcPr>
          <w:p w14:paraId="0CA99A3F" w14:textId="0E893C7B" w:rsidR="00A20AF9" w:rsidRPr="00D15BC3" w:rsidRDefault="00A20AF9" w:rsidP="00EE4AA3">
            <w:pPr>
              <w:jc w:val="right"/>
              <w:rPr>
                <w:b/>
                <w:bCs/>
              </w:rPr>
            </w:pPr>
            <w:r w:rsidRPr="00D15BC3">
              <w:rPr>
                <w:b/>
                <w:bCs/>
              </w:rPr>
              <w:t>202</w:t>
            </w:r>
            <w:r w:rsidR="00971A12">
              <w:rPr>
                <w:b/>
                <w:bCs/>
              </w:rPr>
              <w:t>2</w:t>
            </w:r>
          </w:p>
        </w:tc>
        <w:tc>
          <w:tcPr>
            <w:tcW w:w="1474" w:type="dxa"/>
            <w:tcBorders>
              <w:top w:val="single" w:sz="4" w:space="0" w:color="auto"/>
              <w:bottom w:val="single" w:sz="12" w:space="0" w:color="auto"/>
            </w:tcBorders>
          </w:tcPr>
          <w:p w14:paraId="618F1CCE" w14:textId="7B33CCF6" w:rsidR="00A20AF9" w:rsidRPr="005E3661" w:rsidRDefault="00A20AF9" w:rsidP="00EE4AA3">
            <w:pPr>
              <w:jc w:val="right"/>
            </w:pPr>
            <w:r>
              <w:t>20</w:t>
            </w:r>
            <w:r w:rsidR="00AA27B1">
              <w:t>2</w:t>
            </w:r>
            <w:r w:rsidR="00971A12">
              <w:t>1</w:t>
            </w:r>
          </w:p>
        </w:tc>
      </w:tr>
      <w:tr w:rsidR="009127D6" w:rsidRPr="005E3661" w14:paraId="305773DA" w14:textId="77777777" w:rsidTr="00170494">
        <w:trPr>
          <w:trHeight w:val="20"/>
        </w:trPr>
        <w:tc>
          <w:tcPr>
            <w:tcW w:w="3464" w:type="dxa"/>
            <w:tcBorders>
              <w:top w:val="single" w:sz="12" w:space="0" w:color="auto"/>
            </w:tcBorders>
          </w:tcPr>
          <w:p w14:paraId="2637646B" w14:textId="77777777" w:rsidR="009127D6" w:rsidRPr="005E3661" w:rsidRDefault="009127D6" w:rsidP="00EE4AA3"/>
        </w:tc>
        <w:tc>
          <w:tcPr>
            <w:tcW w:w="1474" w:type="dxa"/>
            <w:tcBorders>
              <w:top w:val="single" w:sz="12" w:space="0" w:color="auto"/>
            </w:tcBorders>
          </w:tcPr>
          <w:p w14:paraId="36142E18" w14:textId="77777777" w:rsidR="009127D6" w:rsidRPr="00523B97" w:rsidRDefault="009127D6" w:rsidP="00EE4AA3">
            <w:pPr>
              <w:jc w:val="right"/>
              <w:rPr>
                <w:b/>
                <w:bCs/>
              </w:rPr>
            </w:pPr>
          </w:p>
        </w:tc>
        <w:tc>
          <w:tcPr>
            <w:tcW w:w="1474" w:type="dxa"/>
            <w:tcBorders>
              <w:top w:val="single" w:sz="12" w:space="0" w:color="auto"/>
            </w:tcBorders>
          </w:tcPr>
          <w:p w14:paraId="3F3924A9" w14:textId="77777777" w:rsidR="009127D6" w:rsidRPr="00787AD1" w:rsidRDefault="009127D6" w:rsidP="00EE4AA3">
            <w:pPr>
              <w:jc w:val="right"/>
              <w:rPr>
                <w:b/>
                <w:bCs/>
              </w:rPr>
            </w:pPr>
          </w:p>
        </w:tc>
        <w:tc>
          <w:tcPr>
            <w:tcW w:w="1474" w:type="dxa"/>
            <w:tcBorders>
              <w:top w:val="single" w:sz="12" w:space="0" w:color="auto"/>
            </w:tcBorders>
          </w:tcPr>
          <w:p w14:paraId="0E404E59" w14:textId="4F70262E" w:rsidR="009127D6" w:rsidRPr="00D15BC3" w:rsidRDefault="009127D6" w:rsidP="00EE4AA3">
            <w:pPr>
              <w:jc w:val="right"/>
              <w:rPr>
                <w:b/>
                <w:bCs/>
              </w:rPr>
            </w:pPr>
            <w:r>
              <w:rPr>
                <w:b/>
                <w:bCs/>
              </w:rPr>
              <w:t>$</w:t>
            </w:r>
          </w:p>
        </w:tc>
        <w:tc>
          <w:tcPr>
            <w:tcW w:w="1474" w:type="dxa"/>
            <w:tcBorders>
              <w:top w:val="single" w:sz="12" w:space="0" w:color="auto"/>
            </w:tcBorders>
          </w:tcPr>
          <w:p w14:paraId="540A75D6" w14:textId="1C758223" w:rsidR="009127D6" w:rsidRDefault="009127D6" w:rsidP="00EE4AA3">
            <w:pPr>
              <w:jc w:val="right"/>
            </w:pPr>
            <w:r>
              <w:t>$</w:t>
            </w:r>
          </w:p>
        </w:tc>
      </w:tr>
      <w:tr w:rsidR="00F24933" w:rsidRPr="005E3661" w14:paraId="3B9E3750" w14:textId="77777777" w:rsidTr="00B50812">
        <w:trPr>
          <w:trHeight w:val="20"/>
        </w:trPr>
        <w:tc>
          <w:tcPr>
            <w:tcW w:w="3464" w:type="dxa"/>
            <w:vAlign w:val="center"/>
          </w:tcPr>
          <w:p w14:paraId="1EBA577E" w14:textId="77777777" w:rsidR="00F24933" w:rsidRPr="005E3661" w:rsidRDefault="00F24933" w:rsidP="00F24933">
            <w:r>
              <w:rPr>
                <w:color w:val="000000"/>
              </w:rPr>
              <w:t>Salaries and benefits</w:t>
            </w:r>
          </w:p>
        </w:tc>
        <w:tc>
          <w:tcPr>
            <w:tcW w:w="1474" w:type="dxa"/>
            <w:vAlign w:val="bottom"/>
          </w:tcPr>
          <w:p w14:paraId="6DBB44DA" w14:textId="77777777" w:rsidR="00F24933" w:rsidRPr="00523B97" w:rsidRDefault="00F24933" w:rsidP="00F24933">
            <w:pPr>
              <w:jc w:val="right"/>
              <w:rPr>
                <w:b/>
                <w:bCs/>
              </w:rPr>
            </w:pPr>
          </w:p>
        </w:tc>
        <w:tc>
          <w:tcPr>
            <w:tcW w:w="1474" w:type="dxa"/>
            <w:vAlign w:val="bottom"/>
          </w:tcPr>
          <w:p w14:paraId="444D555B" w14:textId="77777777" w:rsidR="00F24933" w:rsidRPr="00787AD1" w:rsidRDefault="00F24933" w:rsidP="00F24933">
            <w:pPr>
              <w:jc w:val="right"/>
              <w:rPr>
                <w:b/>
                <w:bCs/>
              </w:rPr>
            </w:pPr>
          </w:p>
        </w:tc>
        <w:tc>
          <w:tcPr>
            <w:tcW w:w="1474" w:type="dxa"/>
            <w:vAlign w:val="bottom"/>
          </w:tcPr>
          <w:p w14:paraId="65D06F21" w14:textId="2374F23A" w:rsidR="00F24933" w:rsidRPr="00F24933" w:rsidRDefault="00F24933" w:rsidP="00F24933">
            <w:pPr>
              <w:jc w:val="right"/>
              <w:rPr>
                <w:b/>
                <w:bCs/>
              </w:rPr>
            </w:pPr>
            <w:r w:rsidRPr="00F24933">
              <w:rPr>
                <w:b/>
                <w:bCs/>
              </w:rPr>
              <w:t>756,467</w:t>
            </w:r>
          </w:p>
        </w:tc>
        <w:tc>
          <w:tcPr>
            <w:tcW w:w="1474" w:type="dxa"/>
            <w:vAlign w:val="bottom"/>
          </w:tcPr>
          <w:p w14:paraId="0844347C" w14:textId="4BDCDFE4" w:rsidR="00F24933" w:rsidRPr="00971A12" w:rsidRDefault="00F24933" w:rsidP="00F24933">
            <w:pPr>
              <w:jc w:val="right"/>
            </w:pPr>
            <w:r w:rsidRPr="00971A12">
              <w:rPr>
                <w:color w:val="000000"/>
              </w:rPr>
              <w:t>347,294</w:t>
            </w:r>
          </w:p>
        </w:tc>
      </w:tr>
      <w:tr w:rsidR="00F24933" w:rsidRPr="005E3661" w14:paraId="27BC5793" w14:textId="77777777" w:rsidTr="00B50812">
        <w:trPr>
          <w:trHeight w:val="20"/>
        </w:trPr>
        <w:tc>
          <w:tcPr>
            <w:tcW w:w="3464" w:type="dxa"/>
            <w:vAlign w:val="center"/>
          </w:tcPr>
          <w:p w14:paraId="3FBCCFBB" w14:textId="77777777" w:rsidR="00F24933" w:rsidRPr="005E3661" w:rsidRDefault="00F24933" w:rsidP="00F24933">
            <w:r>
              <w:rPr>
                <w:color w:val="000000"/>
              </w:rPr>
              <w:t>Rent</w:t>
            </w:r>
          </w:p>
        </w:tc>
        <w:tc>
          <w:tcPr>
            <w:tcW w:w="1474" w:type="dxa"/>
            <w:vAlign w:val="bottom"/>
          </w:tcPr>
          <w:p w14:paraId="497A0057" w14:textId="77777777" w:rsidR="00F24933" w:rsidRPr="00523B97" w:rsidRDefault="00F24933" w:rsidP="00F24933">
            <w:pPr>
              <w:jc w:val="right"/>
              <w:rPr>
                <w:b/>
                <w:bCs/>
              </w:rPr>
            </w:pPr>
          </w:p>
        </w:tc>
        <w:tc>
          <w:tcPr>
            <w:tcW w:w="1474" w:type="dxa"/>
            <w:vAlign w:val="bottom"/>
          </w:tcPr>
          <w:p w14:paraId="686BE76A" w14:textId="77777777" w:rsidR="00F24933" w:rsidRPr="00787AD1" w:rsidRDefault="00F24933" w:rsidP="00F24933">
            <w:pPr>
              <w:jc w:val="right"/>
              <w:rPr>
                <w:b/>
                <w:bCs/>
              </w:rPr>
            </w:pPr>
          </w:p>
        </w:tc>
        <w:tc>
          <w:tcPr>
            <w:tcW w:w="1474" w:type="dxa"/>
            <w:vAlign w:val="bottom"/>
          </w:tcPr>
          <w:p w14:paraId="0E99B73C" w14:textId="56AFF339" w:rsidR="00F24933" w:rsidRPr="00F24933" w:rsidRDefault="00F24933" w:rsidP="00F24933">
            <w:pPr>
              <w:jc w:val="right"/>
              <w:rPr>
                <w:b/>
                <w:bCs/>
              </w:rPr>
            </w:pPr>
            <w:r w:rsidRPr="00F24933">
              <w:rPr>
                <w:b/>
                <w:bCs/>
              </w:rPr>
              <w:t>23,534</w:t>
            </w:r>
          </w:p>
        </w:tc>
        <w:tc>
          <w:tcPr>
            <w:tcW w:w="1474" w:type="dxa"/>
            <w:vAlign w:val="bottom"/>
          </w:tcPr>
          <w:p w14:paraId="3A173796" w14:textId="0422DEE8" w:rsidR="00F24933" w:rsidRPr="00971A12" w:rsidRDefault="00F24933" w:rsidP="00F24933">
            <w:pPr>
              <w:jc w:val="right"/>
            </w:pPr>
            <w:r w:rsidRPr="00971A12">
              <w:rPr>
                <w:color w:val="000000"/>
              </w:rPr>
              <w:t>31,774</w:t>
            </w:r>
          </w:p>
        </w:tc>
      </w:tr>
      <w:tr w:rsidR="00F24933" w:rsidRPr="005E3661" w14:paraId="670BB8BD" w14:textId="77777777" w:rsidTr="00B50812">
        <w:trPr>
          <w:trHeight w:val="20"/>
        </w:trPr>
        <w:tc>
          <w:tcPr>
            <w:tcW w:w="3464" w:type="dxa"/>
            <w:vAlign w:val="center"/>
          </w:tcPr>
          <w:p w14:paraId="7F787352" w14:textId="77777777" w:rsidR="00F24933" w:rsidRPr="005E3661" w:rsidRDefault="00F24933" w:rsidP="00F24933">
            <w:r>
              <w:rPr>
                <w:color w:val="000000"/>
              </w:rPr>
              <w:t>Advertising and promotion</w:t>
            </w:r>
          </w:p>
        </w:tc>
        <w:tc>
          <w:tcPr>
            <w:tcW w:w="1474" w:type="dxa"/>
            <w:vAlign w:val="bottom"/>
          </w:tcPr>
          <w:p w14:paraId="4AED1796" w14:textId="77777777" w:rsidR="00F24933" w:rsidRPr="00523B97" w:rsidRDefault="00F24933" w:rsidP="00F24933">
            <w:pPr>
              <w:jc w:val="right"/>
              <w:rPr>
                <w:b/>
                <w:bCs/>
              </w:rPr>
            </w:pPr>
          </w:p>
        </w:tc>
        <w:tc>
          <w:tcPr>
            <w:tcW w:w="1474" w:type="dxa"/>
            <w:vAlign w:val="bottom"/>
          </w:tcPr>
          <w:p w14:paraId="04AEA6A5" w14:textId="77777777" w:rsidR="00F24933" w:rsidRPr="00787AD1" w:rsidRDefault="00F24933" w:rsidP="00F24933">
            <w:pPr>
              <w:jc w:val="right"/>
              <w:rPr>
                <w:b/>
                <w:bCs/>
              </w:rPr>
            </w:pPr>
          </w:p>
        </w:tc>
        <w:tc>
          <w:tcPr>
            <w:tcW w:w="1474" w:type="dxa"/>
            <w:vAlign w:val="bottom"/>
          </w:tcPr>
          <w:p w14:paraId="3B3BB08E" w14:textId="55F48961" w:rsidR="00F24933" w:rsidRPr="00F24933" w:rsidRDefault="00F24933" w:rsidP="00F24933">
            <w:pPr>
              <w:jc w:val="right"/>
              <w:rPr>
                <w:b/>
                <w:bCs/>
              </w:rPr>
            </w:pPr>
            <w:r w:rsidRPr="00F24933">
              <w:rPr>
                <w:b/>
                <w:bCs/>
              </w:rPr>
              <w:t>154,431</w:t>
            </w:r>
          </w:p>
        </w:tc>
        <w:tc>
          <w:tcPr>
            <w:tcW w:w="1474" w:type="dxa"/>
            <w:vAlign w:val="bottom"/>
          </w:tcPr>
          <w:p w14:paraId="7BF0FC4B" w14:textId="1EE6CF1D" w:rsidR="00F24933" w:rsidRPr="00971A12" w:rsidRDefault="00F24933" w:rsidP="00F24933">
            <w:pPr>
              <w:jc w:val="right"/>
            </w:pPr>
            <w:r w:rsidRPr="00971A12">
              <w:rPr>
                <w:color w:val="000000"/>
              </w:rPr>
              <w:t>157,489</w:t>
            </w:r>
          </w:p>
        </w:tc>
      </w:tr>
      <w:tr w:rsidR="00F24933" w:rsidRPr="005E3661" w14:paraId="53992BEC" w14:textId="77777777" w:rsidTr="00B50812">
        <w:trPr>
          <w:trHeight w:val="20"/>
        </w:trPr>
        <w:tc>
          <w:tcPr>
            <w:tcW w:w="3464" w:type="dxa"/>
            <w:vAlign w:val="center"/>
          </w:tcPr>
          <w:p w14:paraId="47BB0F4A" w14:textId="77777777" w:rsidR="00F24933" w:rsidRPr="005E3661" w:rsidRDefault="00F24933" w:rsidP="00F24933">
            <w:r>
              <w:rPr>
                <w:color w:val="000000"/>
              </w:rPr>
              <w:t>Telephone and internet</w:t>
            </w:r>
          </w:p>
        </w:tc>
        <w:tc>
          <w:tcPr>
            <w:tcW w:w="1474" w:type="dxa"/>
            <w:vAlign w:val="bottom"/>
          </w:tcPr>
          <w:p w14:paraId="6E46618C" w14:textId="77777777" w:rsidR="00F24933" w:rsidRPr="00523B97" w:rsidRDefault="00F24933" w:rsidP="00F24933">
            <w:pPr>
              <w:jc w:val="right"/>
              <w:rPr>
                <w:b/>
                <w:bCs/>
              </w:rPr>
            </w:pPr>
          </w:p>
        </w:tc>
        <w:tc>
          <w:tcPr>
            <w:tcW w:w="1474" w:type="dxa"/>
            <w:vAlign w:val="bottom"/>
          </w:tcPr>
          <w:p w14:paraId="1D1925A2" w14:textId="77777777" w:rsidR="00F24933" w:rsidRPr="00787AD1" w:rsidRDefault="00F24933" w:rsidP="00F24933">
            <w:pPr>
              <w:jc w:val="right"/>
              <w:rPr>
                <w:b/>
                <w:bCs/>
              </w:rPr>
            </w:pPr>
          </w:p>
        </w:tc>
        <w:tc>
          <w:tcPr>
            <w:tcW w:w="1474" w:type="dxa"/>
            <w:vAlign w:val="bottom"/>
          </w:tcPr>
          <w:p w14:paraId="68C56F5F" w14:textId="3E880B11" w:rsidR="00F24933" w:rsidRPr="00F24933" w:rsidRDefault="00F24933" w:rsidP="00F24933">
            <w:pPr>
              <w:jc w:val="right"/>
              <w:rPr>
                <w:b/>
                <w:bCs/>
              </w:rPr>
            </w:pPr>
            <w:r w:rsidRPr="00F24933">
              <w:rPr>
                <w:b/>
                <w:bCs/>
              </w:rPr>
              <w:t>52,105</w:t>
            </w:r>
          </w:p>
        </w:tc>
        <w:tc>
          <w:tcPr>
            <w:tcW w:w="1474" w:type="dxa"/>
            <w:vAlign w:val="bottom"/>
          </w:tcPr>
          <w:p w14:paraId="794E8033" w14:textId="2F82C81F" w:rsidR="00F24933" w:rsidRPr="00971A12" w:rsidRDefault="00F24933" w:rsidP="00F24933">
            <w:pPr>
              <w:jc w:val="right"/>
            </w:pPr>
            <w:r w:rsidRPr="00971A12">
              <w:rPr>
                <w:color w:val="000000"/>
              </w:rPr>
              <w:t>106,116</w:t>
            </w:r>
          </w:p>
        </w:tc>
      </w:tr>
      <w:tr w:rsidR="00F24933" w:rsidRPr="005E3661" w14:paraId="3B3B4A22" w14:textId="77777777" w:rsidTr="00B50812">
        <w:trPr>
          <w:trHeight w:val="20"/>
        </w:trPr>
        <w:tc>
          <w:tcPr>
            <w:tcW w:w="3464" w:type="dxa"/>
            <w:vAlign w:val="center"/>
          </w:tcPr>
          <w:p w14:paraId="3636DF44" w14:textId="77777777" w:rsidR="00F24933" w:rsidRPr="005E3661" w:rsidRDefault="00F24933" w:rsidP="00F24933">
            <w:r>
              <w:rPr>
                <w:color w:val="000000"/>
              </w:rPr>
              <w:t>Penalties</w:t>
            </w:r>
          </w:p>
        </w:tc>
        <w:tc>
          <w:tcPr>
            <w:tcW w:w="1474" w:type="dxa"/>
            <w:vAlign w:val="bottom"/>
          </w:tcPr>
          <w:p w14:paraId="72200812" w14:textId="77777777" w:rsidR="00F24933" w:rsidRPr="00523B97" w:rsidRDefault="00F24933" w:rsidP="00F24933">
            <w:pPr>
              <w:jc w:val="right"/>
              <w:rPr>
                <w:b/>
                <w:bCs/>
              </w:rPr>
            </w:pPr>
          </w:p>
        </w:tc>
        <w:tc>
          <w:tcPr>
            <w:tcW w:w="1474" w:type="dxa"/>
            <w:vAlign w:val="bottom"/>
          </w:tcPr>
          <w:p w14:paraId="51E2889C" w14:textId="77777777" w:rsidR="00F24933" w:rsidRPr="00787AD1" w:rsidRDefault="00F24933" w:rsidP="00F24933">
            <w:pPr>
              <w:jc w:val="right"/>
              <w:rPr>
                <w:b/>
                <w:bCs/>
              </w:rPr>
            </w:pPr>
          </w:p>
        </w:tc>
        <w:tc>
          <w:tcPr>
            <w:tcW w:w="1474" w:type="dxa"/>
            <w:vAlign w:val="bottom"/>
          </w:tcPr>
          <w:p w14:paraId="7A9F9C10" w14:textId="20E25355" w:rsidR="00F24933" w:rsidRPr="00F24933" w:rsidRDefault="00F24933" w:rsidP="00F24933">
            <w:pPr>
              <w:jc w:val="right"/>
              <w:rPr>
                <w:b/>
                <w:bCs/>
              </w:rPr>
            </w:pPr>
            <w:r w:rsidRPr="00F24933">
              <w:rPr>
                <w:b/>
                <w:bCs/>
              </w:rPr>
              <w:t>8,527</w:t>
            </w:r>
          </w:p>
        </w:tc>
        <w:tc>
          <w:tcPr>
            <w:tcW w:w="1474" w:type="dxa"/>
            <w:vAlign w:val="bottom"/>
          </w:tcPr>
          <w:p w14:paraId="58331862" w14:textId="3E500C85" w:rsidR="00F24933" w:rsidRPr="00971A12" w:rsidRDefault="00F24933" w:rsidP="00F24933">
            <w:pPr>
              <w:jc w:val="right"/>
            </w:pPr>
            <w:r w:rsidRPr="00971A12">
              <w:rPr>
                <w:color w:val="000000"/>
              </w:rPr>
              <w:t>11,048</w:t>
            </w:r>
          </w:p>
        </w:tc>
      </w:tr>
      <w:tr w:rsidR="00F24933" w:rsidRPr="005E3661" w14:paraId="6E309E66" w14:textId="77777777" w:rsidTr="00B50812">
        <w:trPr>
          <w:trHeight w:val="20"/>
        </w:trPr>
        <w:tc>
          <w:tcPr>
            <w:tcW w:w="3464" w:type="dxa"/>
            <w:tcBorders>
              <w:bottom w:val="single" w:sz="4" w:space="0" w:color="auto"/>
            </w:tcBorders>
            <w:vAlign w:val="center"/>
          </w:tcPr>
          <w:p w14:paraId="6C97CEB8" w14:textId="77777777" w:rsidR="00F24933" w:rsidRPr="005E3661" w:rsidRDefault="00F24933" w:rsidP="00F24933">
            <w:r>
              <w:rPr>
                <w:color w:val="000000"/>
              </w:rPr>
              <w:t>Other</w:t>
            </w:r>
          </w:p>
        </w:tc>
        <w:tc>
          <w:tcPr>
            <w:tcW w:w="1474" w:type="dxa"/>
            <w:tcBorders>
              <w:bottom w:val="single" w:sz="4" w:space="0" w:color="auto"/>
            </w:tcBorders>
            <w:vAlign w:val="bottom"/>
          </w:tcPr>
          <w:p w14:paraId="16E256EB" w14:textId="77777777" w:rsidR="00F24933" w:rsidRPr="00523B97" w:rsidRDefault="00F24933" w:rsidP="00F24933">
            <w:pPr>
              <w:jc w:val="right"/>
              <w:rPr>
                <w:b/>
                <w:bCs/>
              </w:rPr>
            </w:pPr>
          </w:p>
        </w:tc>
        <w:tc>
          <w:tcPr>
            <w:tcW w:w="1474" w:type="dxa"/>
            <w:tcBorders>
              <w:bottom w:val="single" w:sz="4" w:space="0" w:color="auto"/>
            </w:tcBorders>
            <w:vAlign w:val="bottom"/>
          </w:tcPr>
          <w:p w14:paraId="042D2268" w14:textId="77777777" w:rsidR="00F24933" w:rsidRPr="00787AD1" w:rsidRDefault="00F24933" w:rsidP="00F24933">
            <w:pPr>
              <w:jc w:val="right"/>
              <w:rPr>
                <w:b/>
                <w:bCs/>
              </w:rPr>
            </w:pPr>
          </w:p>
        </w:tc>
        <w:tc>
          <w:tcPr>
            <w:tcW w:w="1474" w:type="dxa"/>
            <w:tcBorders>
              <w:bottom w:val="single" w:sz="4" w:space="0" w:color="auto"/>
            </w:tcBorders>
            <w:vAlign w:val="bottom"/>
          </w:tcPr>
          <w:p w14:paraId="528DA9A0" w14:textId="44E93C96" w:rsidR="00F24933" w:rsidRPr="00F24933" w:rsidRDefault="00F24933" w:rsidP="00F24933">
            <w:pPr>
              <w:jc w:val="right"/>
              <w:rPr>
                <w:b/>
                <w:bCs/>
              </w:rPr>
            </w:pPr>
            <w:r w:rsidRPr="00F24933">
              <w:rPr>
                <w:b/>
                <w:bCs/>
              </w:rPr>
              <w:t>313,379</w:t>
            </w:r>
          </w:p>
        </w:tc>
        <w:tc>
          <w:tcPr>
            <w:tcW w:w="1474" w:type="dxa"/>
            <w:tcBorders>
              <w:bottom w:val="single" w:sz="4" w:space="0" w:color="auto"/>
            </w:tcBorders>
            <w:vAlign w:val="bottom"/>
          </w:tcPr>
          <w:p w14:paraId="1FB141A8" w14:textId="64F2CDE7" w:rsidR="00F24933" w:rsidRPr="00971A12" w:rsidRDefault="00F24933" w:rsidP="00F24933">
            <w:pPr>
              <w:jc w:val="right"/>
            </w:pPr>
            <w:r w:rsidRPr="00971A12">
              <w:rPr>
                <w:color w:val="000000"/>
              </w:rPr>
              <w:t>245,484</w:t>
            </w:r>
          </w:p>
        </w:tc>
      </w:tr>
      <w:tr w:rsidR="00F24933" w:rsidRPr="005E3661" w14:paraId="3849451E" w14:textId="77777777" w:rsidTr="00EB0A91">
        <w:trPr>
          <w:trHeight w:val="70"/>
        </w:trPr>
        <w:tc>
          <w:tcPr>
            <w:tcW w:w="3464" w:type="dxa"/>
            <w:tcBorders>
              <w:top w:val="single" w:sz="4" w:space="0" w:color="auto"/>
              <w:bottom w:val="single" w:sz="12" w:space="0" w:color="auto"/>
            </w:tcBorders>
            <w:vAlign w:val="bottom"/>
          </w:tcPr>
          <w:p w14:paraId="5A399D20" w14:textId="3E8A0E1E" w:rsidR="00F24933" w:rsidRPr="009127D6" w:rsidRDefault="00F24933" w:rsidP="00F24933">
            <w:pPr>
              <w:rPr>
                <w:b/>
                <w:bCs/>
              </w:rPr>
            </w:pPr>
            <w:r w:rsidRPr="009127D6">
              <w:rPr>
                <w:b/>
                <w:bCs/>
              </w:rPr>
              <w:t>Total</w:t>
            </w:r>
          </w:p>
        </w:tc>
        <w:tc>
          <w:tcPr>
            <w:tcW w:w="1474" w:type="dxa"/>
            <w:tcBorders>
              <w:top w:val="single" w:sz="4" w:space="0" w:color="auto"/>
              <w:bottom w:val="single" w:sz="12" w:space="0" w:color="auto"/>
            </w:tcBorders>
            <w:vAlign w:val="center"/>
          </w:tcPr>
          <w:p w14:paraId="6F4DA805" w14:textId="77777777" w:rsidR="00F24933" w:rsidRPr="00523B97" w:rsidRDefault="00F24933" w:rsidP="00F24933">
            <w:pPr>
              <w:jc w:val="right"/>
              <w:rPr>
                <w:b/>
                <w:bCs/>
                <w:highlight w:val="yellow"/>
              </w:rPr>
            </w:pPr>
          </w:p>
        </w:tc>
        <w:tc>
          <w:tcPr>
            <w:tcW w:w="1474" w:type="dxa"/>
            <w:tcBorders>
              <w:top w:val="single" w:sz="4" w:space="0" w:color="auto"/>
              <w:bottom w:val="single" w:sz="12" w:space="0" w:color="auto"/>
            </w:tcBorders>
            <w:vAlign w:val="bottom"/>
          </w:tcPr>
          <w:p w14:paraId="1133A807" w14:textId="77777777" w:rsidR="00F24933" w:rsidRPr="00787AD1" w:rsidRDefault="00F24933" w:rsidP="00F24933">
            <w:pPr>
              <w:jc w:val="right"/>
              <w:rPr>
                <w:b/>
                <w:bCs/>
              </w:rPr>
            </w:pPr>
          </w:p>
        </w:tc>
        <w:tc>
          <w:tcPr>
            <w:tcW w:w="1474" w:type="dxa"/>
            <w:tcBorders>
              <w:top w:val="single" w:sz="4" w:space="0" w:color="auto"/>
              <w:bottom w:val="single" w:sz="12" w:space="0" w:color="auto"/>
            </w:tcBorders>
            <w:vAlign w:val="center"/>
          </w:tcPr>
          <w:p w14:paraId="05C1D0B7" w14:textId="70F2CAA9" w:rsidR="00F24933" w:rsidRPr="00F24933" w:rsidRDefault="00F24933" w:rsidP="00F24933">
            <w:pPr>
              <w:jc w:val="right"/>
              <w:rPr>
                <w:b/>
                <w:bCs/>
                <w:highlight w:val="yellow"/>
              </w:rPr>
            </w:pPr>
            <w:r w:rsidRPr="00F24933">
              <w:rPr>
                <w:b/>
                <w:bCs/>
              </w:rPr>
              <w:t>1,308,443</w:t>
            </w:r>
          </w:p>
        </w:tc>
        <w:tc>
          <w:tcPr>
            <w:tcW w:w="1474" w:type="dxa"/>
            <w:tcBorders>
              <w:top w:val="single" w:sz="4" w:space="0" w:color="auto"/>
              <w:bottom w:val="single" w:sz="12" w:space="0" w:color="auto"/>
            </w:tcBorders>
            <w:vAlign w:val="bottom"/>
          </w:tcPr>
          <w:p w14:paraId="7770AA7C" w14:textId="5ED6096F" w:rsidR="00F24933" w:rsidRPr="00971A12" w:rsidRDefault="00F24933" w:rsidP="00F24933">
            <w:pPr>
              <w:jc w:val="right"/>
            </w:pPr>
            <w:r w:rsidRPr="00971A12">
              <w:rPr>
                <w:color w:val="000000"/>
              </w:rPr>
              <w:t>899,205</w:t>
            </w:r>
          </w:p>
        </w:tc>
      </w:tr>
    </w:tbl>
    <w:p w14:paraId="60C553B4" w14:textId="77777777" w:rsidR="005D3BD4" w:rsidRDefault="005D3BD4" w:rsidP="00B8542F"/>
    <w:p w14:paraId="5278A6C6" w14:textId="5D7879B3" w:rsidR="00150108" w:rsidRPr="005E3661" w:rsidRDefault="00150108" w:rsidP="00B8542F">
      <w:pPr>
        <w:rPr>
          <w:rFonts w:eastAsiaTheme="minorHAnsi"/>
        </w:rPr>
      </w:pPr>
      <w:r w:rsidRPr="005E3661">
        <w:t xml:space="preserve">Operating </w:t>
      </w:r>
      <w:r w:rsidRPr="009C76A1">
        <w:t>expenses</w:t>
      </w:r>
      <w:r w:rsidR="005E7EEB">
        <w:t xml:space="preserve"> in Q</w:t>
      </w:r>
      <w:r w:rsidR="00565DA1">
        <w:t>1</w:t>
      </w:r>
      <w:r w:rsidR="005E7EEB">
        <w:t xml:space="preserve"> 202</w:t>
      </w:r>
      <w:r w:rsidR="00565DA1">
        <w:t>2</w:t>
      </w:r>
      <w:r w:rsidRPr="009C76A1">
        <w:t xml:space="preserve"> were $</w:t>
      </w:r>
      <w:r w:rsidR="00565DA1" w:rsidRPr="00565DA1">
        <w:t>1,</w:t>
      </w:r>
      <w:r w:rsidR="00F24933">
        <w:t>308,443</w:t>
      </w:r>
      <w:r w:rsidR="009B59E1">
        <w:t>,</w:t>
      </w:r>
      <w:r w:rsidRPr="009C76A1">
        <w:t xml:space="preserve"> which increased from </w:t>
      </w:r>
      <w:r w:rsidR="00C32C0A" w:rsidRPr="009C76A1">
        <w:t>$</w:t>
      </w:r>
      <w:r w:rsidR="00565DA1" w:rsidRPr="00565DA1">
        <w:t>899,205</w:t>
      </w:r>
      <w:r w:rsidR="00C32C0A" w:rsidRPr="009C76A1">
        <w:t xml:space="preserve"> </w:t>
      </w:r>
      <w:r w:rsidR="00A859BB" w:rsidRPr="009C76A1">
        <w:t xml:space="preserve">during </w:t>
      </w:r>
      <w:r w:rsidR="002C0C98" w:rsidRPr="009C76A1">
        <w:t>Q</w:t>
      </w:r>
      <w:r w:rsidR="00565DA1">
        <w:t>1</w:t>
      </w:r>
      <w:r w:rsidR="00B760F1" w:rsidRPr="009C76A1">
        <w:t xml:space="preserve"> </w:t>
      </w:r>
      <w:r w:rsidR="002C0C98" w:rsidRPr="009C76A1">
        <w:t>202</w:t>
      </w:r>
      <w:r w:rsidR="00565DA1">
        <w:t>1</w:t>
      </w:r>
      <w:r w:rsidRPr="009C76A1">
        <w:t xml:space="preserve">. The increase </w:t>
      </w:r>
      <w:r w:rsidR="00133C18">
        <w:t>was</w:t>
      </w:r>
      <w:r w:rsidRPr="009C76A1">
        <w:t xml:space="preserve"> primarily related to</w:t>
      </w:r>
      <w:r w:rsidR="005776C8" w:rsidRPr="009C76A1">
        <w:t xml:space="preserve"> increase</w:t>
      </w:r>
      <w:r w:rsidR="008C5A29">
        <w:t>d</w:t>
      </w:r>
      <w:r w:rsidR="005776C8" w:rsidRPr="009C76A1">
        <w:t xml:space="preserve"> salaries and benefits</w:t>
      </w:r>
      <w:r w:rsidR="008C5A29">
        <w:t>.</w:t>
      </w:r>
    </w:p>
    <w:p w14:paraId="305C82A7" w14:textId="77777777" w:rsidR="00263DFE" w:rsidRDefault="00263DFE" w:rsidP="00446364"/>
    <w:p w14:paraId="78270CC7" w14:textId="680D0706" w:rsidR="00150108" w:rsidRPr="005E3661" w:rsidRDefault="00150108" w:rsidP="00327130">
      <w:pPr>
        <w:pStyle w:val="Heading3"/>
      </w:pPr>
      <w:r w:rsidRPr="005E3661">
        <w:t xml:space="preserve">Legal and professional fees </w:t>
      </w:r>
    </w:p>
    <w:p w14:paraId="0D221ADE" w14:textId="77777777" w:rsidR="00150108" w:rsidRPr="005E3661" w:rsidRDefault="00150108" w:rsidP="00B8542F"/>
    <w:p w14:paraId="706D71C4" w14:textId="015C2E35" w:rsidR="00150108" w:rsidRDefault="00150108" w:rsidP="00B8542F">
      <w:pPr>
        <w:rPr>
          <w:iCs/>
        </w:rPr>
      </w:pPr>
      <w:r w:rsidRPr="005E3661">
        <w:t>Legal and professional fees</w:t>
      </w:r>
      <w:r w:rsidR="008928A1">
        <w:t xml:space="preserve"> in Q</w:t>
      </w:r>
      <w:r w:rsidR="00446364">
        <w:t>1</w:t>
      </w:r>
      <w:r w:rsidR="008928A1">
        <w:t xml:space="preserve"> 202</w:t>
      </w:r>
      <w:r w:rsidR="00446364">
        <w:t>2</w:t>
      </w:r>
      <w:r w:rsidR="009B59E1">
        <w:t xml:space="preserve"> </w:t>
      </w:r>
      <w:r w:rsidR="003553E8">
        <w:t>were</w:t>
      </w:r>
      <w:r w:rsidRPr="009C76A1">
        <w:t xml:space="preserve"> </w:t>
      </w:r>
      <w:r w:rsidR="009B59E1">
        <w:t>$</w:t>
      </w:r>
      <w:r w:rsidR="00446364" w:rsidRPr="00446364">
        <w:t>365,680</w:t>
      </w:r>
      <w:r w:rsidRPr="009C76A1">
        <w:t xml:space="preserve">, compared to </w:t>
      </w:r>
      <w:r w:rsidR="003553E8">
        <w:t>$</w:t>
      </w:r>
      <w:r w:rsidR="00446364" w:rsidRPr="00446364">
        <w:t>865,020</w:t>
      </w:r>
      <w:r w:rsidR="00C32C0A" w:rsidRPr="009C76A1">
        <w:t xml:space="preserve"> </w:t>
      </w:r>
      <w:r w:rsidRPr="009C76A1">
        <w:t>during Q</w:t>
      </w:r>
      <w:r w:rsidR="00446364">
        <w:t>1</w:t>
      </w:r>
      <w:r w:rsidRPr="009C76A1">
        <w:t xml:space="preserve"> 20</w:t>
      </w:r>
      <w:r w:rsidR="002C0C98" w:rsidRPr="009C76A1">
        <w:t>2</w:t>
      </w:r>
      <w:r w:rsidR="00446364">
        <w:t>1</w:t>
      </w:r>
      <w:r w:rsidRPr="009C76A1">
        <w:t>.</w:t>
      </w:r>
      <w:r w:rsidR="004F31D8">
        <w:t xml:space="preserve"> </w:t>
      </w:r>
      <w:r w:rsidR="008B7A1D">
        <w:t>In Q</w:t>
      </w:r>
      <w:r w:rsidR="00CF2E9D">
        <w:t>1</w:t>
      </w:r>
      <w:r w:rsidR="008B7A1D">
        <w:t xml:space="preserve"> 202</w:t>
      </w:r>
      <w:r w:rsidR="00CF2E9D">
        <w:t>2</w:t>
      </w:r>
      <w:r w:rsidR="008B7A1D">
        <w:t xml:space="preserve">, legal and professional fees were primarily comprised of accounting </w:t>
      </w:r>
      <w:r w:rsidR="004B3AEE">
        <w:t xml:space="preserve">fees and consulting </w:t>
      </w:r>
      <w:r w:rsidR="008B7A1D">
        <w:t xml:space="preserve">fees pertaining to the </w:t>
      </w:r>
      <w:r w:rsidR="004B3AEE">
        <w:t xml:space="preserve">assessment of a testing site. </w:t>
      </w:r>
      <w:r w:rsidR="008B7A1D">
        <w:t>In Q</w:t>
      </w:r>
      <w:r w:rsidR="004B3AEE">
        <w:t>1</w:t>
      </w:r>
      <w:r w:rsidR="008B7A1D">
        <w:t xml:space="preserve"> 202</w:t>
      </w:r>
      <w:r w:rsidR="004B3AEE">
        <w:t>1</w:t>
      </w:r>
      <w:r w:rsidR="008B7A1D">
        <w:t xml:space="preserve">, legal and professional fees were </w:t>
      </w:r>
      <w:r w:rsidR="00870C46">
        <w:t xml:space="preserve">mainly </w:t>
      </w:r>
      <w:r w:rsidR="008B7A1D">
        <w:t xml:space="preserve">comprised of costs incurred in connection with the acquisitions of Kai Medical USA and </w:t>
      </w:r>
      <w:r w:rsidR="00190495">
        <w:t>Lawrence Park &amp; Atkinson clinics</w:t>
      </w:r>
      <w:r w:rsidR="003000CA">
        <w:t xml:space="preserve"> as well as business advisory and consulting expenses.</w:t>
      </w:r>
    </w:p>
    <w:p w14:paraId="75A888AB" w14:textId="77777777" w:rsidR="00A20AF9" w:rsidRPr="005E3661" w:rsidRDefault="00A20AF9" w:rsidP="00B8542F"/>
    <w:p w14:paraId="2104B0D9" w14:textId="77777777" w:rsidR="00150108" w:rsidRPr="005E3661" w:rsidRDefault="00150108" w:rsidP="00327130">
      <w:pPr>
        <w:pStyle w:val="Heading3"/>
      </w:pPr>
      <w:r w:rsidRPr="005E3661">
        <w:t>Depreciation and amortization expense</w:t>
      </w:r>
    </w:p>
    <w:p w14:paraId="4C0142E8" w14:textId="77777777" w:rsidR="00150108" w:rsidRPr="005E3661" w:rsidRDefault="00150108" w:rsidP="00B8542F"/>
    <w:p w14:paraId="6B1F920C" w14:textId="53DF1D0B" w:rsidR="00196806" w:rsidRDefault="00150108" w:rsidP="00B8542F">
      <w:r w:rsidRPr="005E3661">
        <w:t>Depreciation and amortization expense</w:t>
      </w:r>
      <w:r w:rsidR="008928A1">
        <w:t xml:space="preserve"> in Q</w:t>
      </w:r>
      <w:r w:rsidR="008616E4">
        <w:t>1</w:t>
      </w:r>
      <w:r w:rsidR="008928A1">
        <w:t xml:space="preserve"> 202</w:t>
      </w:r>
      <w:r w:rsidR="008616E4">
        <w:t>2</w:t>
      </w:r>
      <w:r w:rsidRPr="005E3661">
        <w:t xml:space="preserve"> </w:t>
      </w:r>
      <w:r w:rsidR="00405AC1" w:rsidRPr="009C76A1">
        <w:t>was</w:t>
      </w:r>
      <w:r w:rsidRPr="009C76A1">
        <w:t xml:space="preserve"> $</w:t>
      </w:r>
      <w:r w:rsidR="00196806" w:rsidRPr="00196806">
        <w:t>53,645</w:t>
      </w:r>
      <w:r w:rsidRPr="005E3661">
        <w:t>,</w:t>
      </w:r>
      <w:r w:rsidR="00D713D1">
        <w:t xml:space="preserve"> </w:t>
      </w:r>
      <w:r w:rsidRPr="005E3661">
        <w:t xml:space="preserve">compared to </w:t>
      </w:r>
      <w:r w:rsidR="0027082B" w:rsidRPr="005E3661">
        <w:t>$</w:t>
      </w:r>
      <w:r w:rsidR="00196806" w:rsidRPr="00196806">
        <w:t>120,670</w:t>
      </w:r>
      <w:r w:rsidR="0027082B" w:rsidRPr="005E3661">
        <w:t xml:space="preserve"> </w:t>
      </w:r>
      <w:r w:rsidRPr="009C76A1">
        <w:t xml:space="preserve">during </w:t>
      </w:r>
      <w:r w:rsidR="008928A1">
        <w:t>Q</w:t>
      </w:r>
      <w:r w:rsidR="00196806">
        <w:t>1</w:t>
      </w:r>
      <w:r w:rsidR="002C0C98" w:rsidRPr="009C76A1">
        <w:t xml:space="preserve"> 202</w:t>
      </w:r>
      <w:r w:rsidR="00196806">
        <w:t>1</w:t>
      </w:r>
      <w:r w:rsidR="00D713D1">
        <w:t xml:space="preserve">. </w:t>
      </w:r>
      <w:r w:rsidR="00196806">
        <w:t xml:space="preserve">The decrease in this expense was due to significant amount of long-lived assets </w:t>
      </w:r>
      <w:r w:rsidR="005C003E">
        <w:t>being</w:t>
      </w:r>
      <w:r w:rsidR="00196806">
        <w:t xml:space="preserve"> impaired during the year ended December 31, 2021. </w:t>
      </w:r>
      <w:r w:rsidR="00B47F44">
        <w:t xml:space="preserve">Depreciation and amortization expense </w:t>
      </w:r>
      <w:r w:rsidR="00C115D0">
        <w:t xml:space="preserve">for current year period </w:t>
      </w:r>
      <w:r w:rsidR="004A73A9">
        <w:t>was primarily from furniture and testing equipment</w:t>
      </w:r>
      <w:r w:rsidR="00C115D0">
        <w:t>.</w:t>
      </w:r>
    </w:p>
    <w:p w14:paraId="67155D16" w14:textId="2E31E2BF" w:rsidR="00150108" w:rsidRPr="005E3661" w:rsidRDefault="00150108" w:rsidP="00B8542F">
      <w:pPr>
        <w:rPr>
          <w:highlight w:val="yellow"/>
        </w:rPr>
      </w:pPr>
    </w:p>
    <w:p w14:paraId="39A0F520" w14:textId="35696A71" w:rsidR="00150108" w:rsidRPr="005E3661" w:rsidRDefault="00211362" w:rsidP="00327130">
      <w:pPr>
        <w:pStyle w:val="Heading3"/>
      </w:pPr>
      <w:r>
        <w:t>Share</w:t>
      </w:r>
      <w:r w:rsidR="00150108" w:rsidRPr="005E3661">
        <w:t>-based payments</w:t>
      </w:r>
    </w:p>
    <w:p w14:paraId="6EE8A82F" w14:textId="77777777" w:rsidR="00150108" w:rsidRPr="005E3661" w:rsidRDefault="00150108" w:rsidP="00B8542F"/>
    <w:p w14:paraId="1755A340" w14:textId="6EE2A1D1" w:rsidR="00AE71B9" w:rsidRDefault="009C1001" w:rsidP="00B8542F">
      <w:r>
        <w:t xml:space="preserve">The Company </w:t>
      </w:r>
      <w:r w:rsidR="0062211D">
        <w:t>recorded</w:t>
      </w:r>
      <w:r>
        <w:t xml:space="preserve"> </w:t>
      </w:r>
      <w:r w:rsidR="00211362">
        <w:t>share</w:t>
      </w:r>
      <w:r w:rsidR="00150108" w:rsidRPr="00323A5B">
        <w:t xml:space="preserve">-based </w:t>
      </w:r>
      <w:r w:rsidR="008F25CC">
        <w:t xml:space="preserve">payment </w:t>
      </w:r>
      <w:r>
        <w:t>during</w:t>
      </w:r>
      <w:r w:rsidR="008F25CC">
        <w:t xml:space="preserve"> </w:t>
      </w:r>
      <w:r w:rsidR="00CA3CE7" w:rsidRPr="00323A5B">
        <w:t>Q</w:t>
      </w:r>
      <w:r w:rsidR="0062211D">
        <w:t>1</w:t>
      </w:r>
      <w:r w:rsidR="00CA3CE7" w:rsidRPr="00323A5B">
        <w:t xml:space="preserve"> 202</w:t>
      </w:r>
      <w:r w:rsidR="0062211D">
        <w:t>2</w:t>
      </w:r>
      <w:r w:rsidR="008F25CC">
        <w:t xml:space="preserve"> of </w:t>
      </w:r>
      <w:r w:rsidR="008E4736" w:rsidRPr="00323A5B">
        <w:t>$</w:t>
      </w:r>
      <w:r w:rsidR="000E2FAB" w:rsidRPr="000E2FAB">
        <w:t>123,291</w:t>
      </w:r>
      <w:r w:rsidR="00150108" w:rsidRPr="00323A5B">
        <w:t xml:space="preserve">, compared to </w:t>
      </w:r>
      <w:r w:rsidR="008F25CC">
        <w:t xml:space="preserve">an </w:t>
      </w:r>
      <w:r w:rsidR="000E2FAB">
        <w:t>amount</w:t>
      </w:r>
      <w:r w:rsidR="008F25CC">
        <w:t xml:space="preserve"> of </w:t>
      </w:r>
      <w:r w:rsidR="00C32C0A" w:rsidRPr="00323A5B">
        <w:t>$</w:t>
      </w:r>
      <w:r w:rsidR="000E2FAB" w:rsidRPr="000E2FAB">
        <w:t>435,986</w:t>
      </w:r>
      <w:r w:rsidR="00C32C0A" w:rsidRPr="00323A5B">
        <w:t xml:space="preserve"> </w:t>
      </w:r>
      <w:r w:rsidR="00150108" w:rsidRPr="00323A5B">
        <w:t xml:space="preserve">during </w:t>
      </w:r>
      <w:r w:rsidR="002C0C98" w:rsidRPr="00323A5B">
        <w:t>Q</w:t>
      </w:r>
      <w:r w:rsidR="000E2FAB">
        <w:t>1</w:t>
      </w:r>
      <w:r w:rsidR="002C0C98" w:rsidRPr="00323A5B">
        <w:t xml:space="preserve"> 202</w:t>
      </w:r>
      <w:r w:rsidR="000E2FAB">
        <w:t>1</w:t>
      </w:r>
      <w:r w:rsidR="00313788" w:rsidRPr="00323A5B">
        <w:t xml:space="preserve"> </w:t>
      </w:r>
      <w:r w:rsidR="00AE71B9">
        <w:t xml:space="preserve">due to fewer options granted in </w:t>
      </w:r>
      <w:r w:rsidR="00CC662E">
        <w:t xml:space="preserve">current year period. The share-based option expense </w:t>
      </w:r>
      <w:r w:rsidR="00A93A00">
        <w:t xml:space="preserve">during the period </w:t>
      </w:r>
      <w:r w:rsidR="00CC662E">
        <w:t xml:space="preserve">was </w:t>
      </w:r>
      <w:r w:rsidR="00A93A00">
        <w:t xml:space="preserve">largely dependent on </w:t>
      </w:r>
      <w:r w:rsidR="00CC662E">
        <w:t xml:space="preserve">the fair value </w:t>
      </w:r>
      <w:r w:rsidR="00D6757E">
        <w:t xml:space="preserve">at grant date </w:t>
      </w:r>
      <w:r w:rsidR="00CF3044">
        <w:t xml:space="preserve">determined by Black-Scholes option pricing model. </w:t>
      </w:r>
    </w:p>
    <w:p w14:paraId="01719F1C" w14:textId="77777777" w:rsidR="009439F4" w:rsidRPr="005E3661" w:rsidRDefault="009439F4" w:rsidP="00B8542F"/>
    <w:p w14:paraId="25ACC948" w14:textId="4BBBE9E1" w:rsidR="00A93B6B" w:rsidRPr="005E3661" w:rsidRDefault="00A93B6B" w:rsidP="00A93B6B">
      <w:pPr>
        <w:pStyle w:val="Heading3"/>
      </w:pPr>
      <w:r>
        <w:t>Provision for credit loss</w:t>
      </w:r>
    </w:p>
    <w:p w14:paraId="10562E0E" w14:textId="77777777" w:rsidR="00A93B6B" w:rsidRDefault="00A93B6B" w:rsidP="00C914FC"/>
    <w:p w14:paraId="6A1F60D1" w14:textId="0711B9AD" w:rsidR="00A93B6B" w:rsidRPr="00815643" w:rsidRDefault="00A93B6B" w:rsidP="00815643">
      <w:r w:rsidRPr="00815643">
        <w:t>In Q</w:t>
      </w:r>
      <w:r w:rsidR="001A5DAF">
        <w:t>1</w:t>
      </w:r>
      <w:r w:rsidRPr="00815643">
        <w:t xml:space="preserve"> 202</w:t>
      </w:r>
      <w:r w:rsidR="001A5DAF">
        <w:t>2</w:t>
      </w:r>
      <w:r w:rsidRPr="00815643">
        <w:t>, the Company recorded a provision for expected credit loss of $</w:t>
      </w:r>
      <w:r w:rsidR="001A5DAF">
        <w:t>4,521</w:t>
      </w:r>
      <w:r w:rsidRPr="00815643">
        <w:t>, compared to $nil in Q</w:t>
      </w:r>
      <w:r w:rsidR="001A5DAF">
        <w:t>1</w:t>
      </w:r>
      <w:r w:rsidRPr="00815643">
        <w:t xml:space="preserve"> 202</w:t>
      </w:r>
      <w:r w:rsidR="001A5DAF">
        <w:t>1</w:t>
      </w:r>
      <w:r w:rsidRPr="00815643">
        <w:t>. Th</w:t>
      </w:r>
      <w:r w:rsidR="00241B1D" w:rsidRPr="00815643">
        <w:t xml:space="preserve">e increase </w:t>
      </w:r>
      <w:r w:rsidR="00133C18">
        <w:t>was</w:t>
      </w:r>
      <w:r w:rsidR="00241B1D" w:rsidRPr="00815643">
        <w:t xml:space="preserve"> based on management’s estimate of aged </w:t>
      </w:r>
      <w:r w:rsidR="008942E0">
        <w:t>lease</w:t>
      </w:r>
      <w:r w:rsidR="002F6A19" w:rsidRPr="00815643">
        <w:t xml:space="preserve"> </w:t>
      </w:r>
      <w:r w:rsidR="00241B1D" w:rsidRPr="00815643">
        <w:t xml:space="preserve">receivables </w:t>
      </w:r>
      <w:r w:rsidR="008942E0">
        <w:t xml:space="preserve">from a sub-lease contract </w:t>
      </w:r>
      <w:r w:rsidR="00241B1D" w:rsidRPr="00815643">
        <w:t xml:space="preserve">that </w:t>
      </w:r>
      <w:r w:rsidR="008942E0">
        <w:t>is</w:t>
      </w:r>
      <w:r w:rsidR="00241B1D" w:rsidRPr="00815643">
        <w:t xml:space="preserve"> expected to be uncollectible. </w:t>
      </w:r>
    </w:p>
    <w:p w14:paraId="307FC23B" w14:textId="77777777" w:rsidR="00B50812" w:rsidRDefault="00B50812">
      <w:pPr>
        <w:spacing w:after="160" w:line="259" w:lineRule="auto"/>
        <w:jc w:val="left"/>
        <w:rPr>
          <w:rFonts w:eastAsiaTheme="minorHAnsi"/>
          <w:b/>
          <w:iCs/>
          <w:lang w:val="en-US"/>
        </w:rPr>
      </w:pPr>
      <w:r>
        <w:br w:type="page"/>
      </w:r>
    </w:p>
    <w:p w14:paraId="56B88888" w14:textId="7BE58DD9" w:rsidR="00150108" w:rsidRPr="005E3661" w:rsidRDefault="00150108" w:rsidP="00327130">
      <w:pPr>
        <w:pStyle w:val="Heading3"/>
      </w:pPr>
      <w:r w:rsidRPr="005E3661">
        <w:lastRenderedPageBreak/>
        <w:t>Gain on change in fair value of warrant liability</w:t>
      </w:r>
    </w:p>
    <w:p w14:paraId="005ABA1A" w14:textId="77777777" w:rsidR="00150108" w:rsidRPr="005E3661" w:rsidRDefault="00150108" w:rsidP="00B8542F"/>
    <w:p w14:paraId="33A2321E" w14:textId="61783103" w:rsidR="00150108" w:rsidRDefault="00FE4D53" w:rsidP="00B8542F">
      <w:r>
        <w:t>In Q</w:t>
      </w:r>
      <w:r w:rsidR="001C2284">
        <w:t>1</w:t>
      </w:r>
      <w:r>
        <w:t xml:space="preserve"> 202</w:t>
      </w:r>
      <w:r w:rsidR="001C2284">
        <w:t>2</w:t>
      </w:r>
      <w:r>
        <w:t>, t</w:t>
      </w:r>
      <w:r w:rsidR="00150108" w:rsidRPr="005E3661">
        <w:t xml:space="preserve">he Company recorded a </w:t>
      </w:r>
      <w:r w:rsidR="000E366D" w:rsidRPr="005E3661">
        <w:t>gain</w:t>
      </w:r>
      <w:r w:rsidR="00150108" w:rsidRPr="005E3661">
        <w:t xml:space="preserve"> on the change in the fair value of </w:t>
      </w:r>
      <w:r w:rsidR="000F2044">
        <w:t>its</w:t>
      </w:r>
      <w:r w:rsidR="00150108" w:rsidRPr="005E3661">
        <w:t xml:space="preserve"> warrant liability of </w:t>
      </w:r>
      <w:r w:rsidR="009C76A1">
        <w:t>$</w:t>
      </w:r>
      <w:r w:rsidR="00F24933">
        <w:t>651,385</w:t>
      </w:r>
      <w:r w:rsidR="008E4736">
        <w:t xml:space="preserve"> </w:t>
      </w:r>
      <w:r w:rsidR="00150108" w:rsidRPr="005E3661">
        <w:t xml:space="preserve">compared to </w:t>
      </w:r>
      <w:r w:rsidR="00FC38FA" w:rsidRPr="005E3661">
        <w:t xml:space="preserve">a </w:t>
      </w:r>
      <w:r w:rsidR="00B14786">
        <w:t>loss</w:t>
      </w:r>
      <w:r w:rsidR="00FC38FA" w:rsidRPr="005E3661">
        <w:t xml:space="preserve"> of </w:t>
      </w:r>
      <w:r w:rsidR="0027082B" w:rsidRPr="005E3661">
        <w:t>$</w:t>
      </w:r>
      <w:r w:rsidR="005055B5" w:rsidRPr="005055B5">
        <w:t>23,793,165</w:t>
      </w:r>
      <w:r w:rsidR="0027082B" w:rsidRPr="005E3661">
        <w:t xml:space="preserve"> </w:t>
      </w:r>
      <w:r w:rsidR="000266D9" w:rsidRPr="005E3661">
        <w:t xml:space="preserve">during </w:t>
      </w:r>
      <w:r w:rsidR="002C0C98" w:rsidRPr="005E3661">
        <w:t>Q</w:t>
      </w:r>
      <w:r w:rsidR="005055B5">
        <w:t>1</w:t>
      </w:r>
      <w:r w:rsidR="002C0C98" w:rsidRPr="005E3661">
        <w:t xml:space="preserve"> 202</w:t>
      </w:r>
      <w:r w:rsidR="005055B5">
        <w:t>1</w:t>
      </w:r>
      <w:r w:rsidR="000266D9" w:rsidRPr="005E3661">
        <w:t xml:space="preserve"> due to </w:t>
      </w:r>
      <w:bookmarkStart w:id="0" w:name="_Hlk8667986"/>
      <w:r w:rsidR="000266D9" w:rsidRPr="005E3661">
        <w:t>the requirement to re</w:t>
      </w:r>
      <w:r w:rsidR="00133C18">
        <w:t>-</w:t>
      </w:r>
      <w:r w:rsidR="000266D9" w:rsidRPr="005E3661">
        <w:t>value t</w:t>
      </w:r>
      <w:r w:rsidR="00150108" w:rsidRPr="005E3661">
        <w:t xml:space="preserve">he </w:t>
      </w:r>
      <w:r w:rsidR="00211362">
        <w:t>share</w:t>
      </w:r>
      <w:r w:rsidR="00150108" w:rsidRPr="005E3661">
        <w:t xml:space="preserve"> purchase warrants </w:t>
      </w:r>
      <w:r w:rsidR="0046752A" w:rsidRPr="005E3661">
        <w:t xml:space="preserve">upon exercise or </w:t>
      </w:r>
      <w:r w:rsidR="00150108" w:rsidRPr="005E3661">
        <w:t>at every quarter end</w:t>
      </w:r>
      <w:r w:rsidR="000F2044">
        <w:t>.</w:t>
      </w:r>
      <w:r w:rsidR="00150108" w:rsidRPr="005E3661">
        <w:t xml:space="preserve"> </w:t>
      </w:r>
      <w:r w:rsidR="000F2044">
        <w:t>T</w:t>
      </w:r>
      <w:r w:rsidR="00150108" w:rsidRPr="005E3661">
        <w:t xml:space="preserve">he </w:t>
      </w:r>
      <w:r w:rsidR="000E366D" w:rsidRPr="005E3661">
        <w:t>gain</w:t>
      </w:r>
      <w:r w:rsidR="00150108" w:rsidRPr="005E3661">
        <w:t xml:space="preserve"> resulted from the</w:t>
      </w:r>
      <w:r w:rsidR="0046752A" w:rsidRPr="005E3661">
        <w:t xml:space="preserve"> </w:t>
      </w:r>
      <w:r w:rsidR="000E366D" w:rsidRPr="005E3661">
        <w:t>decrease</w:t>
      </w:r>
      <w:r w:rsidR="00150108" w:rsidRPr="005E3661">
        <w:t xml:space="preserve"> in the Company’s </w:t>
      </w:r>
      <w:r w:rsidR="00211362">
        <w:t>share</w:t>
      </w:r>
      <w:r w:rsidR="00150108" w:rsidRPr="005E3661">
        <w:t xml:space="preserve"> price during Q</w:t>
      </w:r>
      <w:r w:rsidR="00F24933">
        <w:t>1</w:t>
      </w:r>
      <w:r w:rsidR="00150108" w:rsidRPr="005E3661">
        <w:t xml:space="preserve"> 202</w:t>
      </w:r>
      <w:r w:rsidR="00F24933">
        <w:t>2</w:t>
      </w:r>
      <w:r w:rsidR="00150108" w:rsidRPr="005E3661">
        <w:t xml:space="preserve">, which is a </w:t>
      </w:r>
      <w:r w:rsidR="00A859BB" w:rsidRPr="005E3661">
        <w:t xml:space="preserve">key </w:t>
      </w:r>
      <w:r w:rsidR="00150108" w:rsidRPr="005E3661">
        <w:t xml:space="preserve">variable in determining the fair value of the warrant liability per the Black-Scholes </w:t>
      </w:r>
      <w:r w:rsidR="000266D9" w:rsidRPr="005E3661">
        <w:t>option pricing</w:t>
      </w:r>
      <w:r w:rsidR="00150108" w:rsidRPr="005E3661">
        <w:t xml:space="preserve"> model</w:t>
      </w:r>
      <w:bookmarkEnd w:id="0"/>
      <w:r w:rsidR="00150108" w:rsidRPr="005E3661">
        <w:t>.</w:t>
      </w:r>
    </w:p>
    <w:p w14:paraId="60BB5E9B" w14:textId="145D7DAF" w:rsidR="007F2426" w:rsidRDefault="007F2426" w:rsidP="00B8542F"/>
    <w:p w14:paraId="61AB5BF8" w14:textId="3B88F483" w:rsidR="005C2EA1" w:rsidRPr="005C2EA1" w:rsidRDefault="005C2EA1" w:rsidP="00B8542F">
      <w:pPr>
        <w:rPr>
          <w:b/>
          <w:bCs/>
        </w:rPr>
      </w:pPr>
      <w:r w:rsidRPr="005C2EA1">
        <w:rPr>
          <w:b/>
          <w:bCs/>
        </w:rPr>
        <w:t xml:space="preserve">Loss on change in fair value of </w:t>
      </w:r>
      <w:r>
        <w:rPr>
          <w:b/>
          <w:bCs/>
        </w:rPr>
        <w:t>conversion feature</w:t>
      </w:r>
    </w:p>
    <w:p w14:paraId="00506373" w14:textId="65637F6E" w:rsidR="005C2EA1" w:rsidRDefault="005C2EA1" w:rsidP="00B8542F"/>
    <w:p w14:paraId="351C7EDF" w14:textId="696A5A00" w:rsidR="005C2EA1" w:rsidRDefault="005C2EA1" w:rsidP="00B8542F">
      <w:r>
        <w:t>In Q1 2022, the Company recorded a loss on change in fair value of conversion feature of $679,003 compared to $nil during Q1 2021 relating to the Company’s convertible debentures. The conversion features associated with the convertible debentures were re-valued at period end, resulting in a loss.</w:t>
      </w:r>
    </w:p>
    <w:p w14:paraId="14993FFA" w14:textId="77777777" w:rsidR="005C2EA1" w:rsidRDefault="005C2EA1" w:rsidP="00B8542F"/>
    <w:p w14:paraId="3F0CAE6C" w14:textId="6C5CE639" w:rsidR="007F2426" w:rsidRPr="00815643" w:rsidRDefault="007F2426" w:rsidP="00815643">
      <w:pPr>
        <w:pStyle w:val="Heading3"/>
      </w:pPr>
      <w:r w:rsidRPr="00815643">
        <w:t>Impairment o</w:t>
      </w:r>
      <w:r w:rsidR="00EB3D4C" w:rsidRPr="00815643">
        <w:t>f</w:t>
      </w:r>
      <w:r w:rsidRPr="00815643">
        <w:t xml:space="preserve"> property, plant and equipment</w:t>
      </w:r>
    </w:p>
    <w:p w14:paraId="596E5463" w14:textId="78A85093" w:rsidR="007F2426" w:rsidRDefault="007F2426" w:rsidP="00B8542F">
      <w:pPr>
        <w:rPr>
          <w:b/>
          <w:bCs/>
        </w:rPr>
      </w:pPr>
    </w:p>
    <w:p w14:paraId="1CDB506A" w14:textId="75E0AFEA" w:rsidR="001148CF" w:rsidRDefault="001148CF" w:rsidP="00B8542F">
      <w:r>
        <w:t>In Q</w:t>
      </w:r>
      <w:r w:rsidR="00E65B1A">
        <w:t>1</w:t>
      </w:r>
      <w:r>
        <w:t xml:space="preserve"> 202</w:t>
      </w:r>
      <w:r w:rsidR="00E65B1A">
        <w:t>2</w:t>
      </w:r>
      <w:r>
        <w:t>, the Company recognized impairment of property, plant</w:t>
      </w:r>
      <w:r w:rsidR="00C344EF">
        <w:t>,</w:t>
      </w:r>
      <w:r>
        <w:t xml:space="preserve"> and equipment of $</w:t>
      </w:r>
      <w:r w:rsidR="000B47CE" w:rsidRPr="000B47CE">
        <w:t>19,336</w:t>
      </w:r>
      <w:r>
        <w:t xml:space="preserve"> compared to $nil in Q</w:t>
      </w:r>
      <w:r w:rsidR="00D7091E">
        <w:t>1</w:t>
      </w:r>
      <w:r>
        <w:t xml:space="preserve"> 202</w:t>
      </w:r>
      <w:r w:rsidR="00D7091E">
        <w:t>1</w:t>
      </w:r>
      <w:r>
        <w:t>. The impairment</w:t>
      </w:r>
      <w:r w:rsidR="000706DD">
        <w:t xml:space="preserve"> charge </w:t>
      </w:r>
      <w:r w:rsidR="00D7091E">
        <w:t>was</w:t>
      </w:r>
      <w:r w:rsidR="009A1DF5">
        <w:t xml:space="preserve"> </w:t>
      </w:r>
      <w:r w:rsidR="006F5828">
        <w:t xml:space="preserve">completely </w:t>
      </w:r>
      <w:r w:rsidR="000706DD">
        <w:t xml:space="preserve">related to </w:t>
      </w:r>
      <w:r w:rsidR="001109D4">
        <w:t>leasehold</w:t>
      </w:r>
      <w:r w:rsidR="006F5828">
        <w:t xml:space="preserve"> improvements.</w:t>
      </w:r>
      <w:r w:rsidR="000706DD">
        <w:t xml:space="preserve"> The impairment charges resulted from management’s review of the recoverability of the assets and a conclusion that their carrying amount exceeded their recoverable amount.</w:t>
      </w:r>
    </w:p>
    <w:p w14:paraId="431C7FD4" w14:textId="77777777" w:rsidR="008210D3" w:rsidRDefault="008210D3" w:rsidP="00F65F43"/>
    <w:p w14:paraId="004FE295" w14:textId="6CB79F33" w:rsidR="005D75DC" w:rsidRDefault="005D75DC" w:rsidP="00815643">
      <w:pPr>
        <w:pStyle w:val="Heading3"/>
      </w:pPr>
      <w:r>
        <w:t>Financing expense</w:t>
      </w:r>
    </w:p>
    <w:p w14:paraId="7FB3B1E7" w14:textId="2DB90AE7" w:rsidR="005D75DC" w:rsidRDefault="005D75DC" w:rsidP="005D75DC">
      <w:pPr>
        <w:rPr>
          <w:lang w:val="en-US"/>
        </w:rPr>
      </w:pPr>
    </w:p>
    <w:p w14:paraId="2EE417BC" w14:textId="28278957" w:rsidR="005D75DC" w:rsidRDefault="005D75DC" w:rsidP="005D75DC">
      <w:pPr>
        <w:rPr>
          <w:lang w:val="en-US"/>
        </w:rPr>
      </w:pPr>
      <w:r>
        <w:rPr>
          <w:lang w:val="en-US"/>
        </w:rPr>
        <w:t>Financing expense was $</w:t>
      </w:r>
      <w:r w:rsidR="00F24933">
        <w:rPr>
          <w:lang w:val="en-US"/>
        </w:rPr>
        <w:t>700,54</w:t>
      </w:r>
      <w:r w:rsidR="00AD2080">
        <w:rPr>
          <w:lang w:val="en-US"/>
        </w:rPr>
        <w:t>2</w:t>
      </w:r>
      <w:r>
        <w:rPr>
          <w:lang w:val="en-US"/>
        </w:rPr>
        <w:t xml:space="preserve"> in Q1 2022 compared to $nil in Q1 2021</w:t>
      </w:r>
      <w:r w:rsidR="00E850C5">
        <w:rPr>
          <w:lang w:val="en-US"/>
        </w:rPr>
        <w:t xml:space="preserve">. </w:t>
      </w:r>
      <w:r w:rsidR="00EB3F3B">
        <w:rPr>
          <w:lang w:val="en-US"/>
        </w:rPr>
        <w:t xml:space="preserve">During the current quarter, the Company </w:t>
      </w:r>
      <w:r w:rsidR="00AC7952">
        <w:rPr>
          <w:lang w:val="en-US"/>
        </w:rPr>
        <w:t xml:space="preserve">closed two private placements and </w:t>
      </w:r>
      <w:r w:rsidR="00EB3F3B">
        <w:rPr>
          <w:lang w:val="en-US"/>
        </w:rPr>
        <w:t xml:space="preserve">issued several securities </w:t>
      </w:r>
      <w:r w:rsidR="00AC7952">
        <w:rPr>
          <w:lang w:val="en-US"/>
        </w:rPr>
        <w:t>that had total fair value greater than the gross proceeds.</w:t>
      </w:r>
    </w:p>
    <w:p w14:paraId="17A4F0DD" w14:textId="77777777" w:rsidR="005D75DC" w:rsidRPr="005D75DC" w:rsidRDefault="005D75DC" w:rsidP="005D75DC">
      <w:pPr>
        <w:rPr>
          <w:lang w:val="en-US"/>
        </w:rPr>
      </w:pPr>
    </w:p>
    <w:p w14:paraId="11D3B54C" w14:textId="3B5D2B38" w:rsidR="00027B21" w:rsidRPr="00815643" w:rsidRDefault="00027B21" w:rsidP="00815643">
      <w:pPr>
        <w:pStyle w:val="Heading3"/>
      </w:pPr>
      <w:r w:rsidRPr="00815643">
        <w:t>Other (income) expense</w:t>
      </w:r>
    </w:p>
    <w:p w14:paraId="7E7A217C" w14:textId="762A4B90" w:rsidR="00027B21" w:rsidRDefault="00027B21" w:rsidP="00B8542F">
      <w:pPr>
        <w:rPr>
          <w:b/>
          <w:bCs/>
        </w:rPr>
      </w:pPr>
    </w:p>
    <w:p w14:paraId="572BC217" w14:textId="24761424" w:rsidR="00114D3D" w:rsidRPr="008F464E" w:rsidRDefault="00E55196" w:rsidP="004316CE">
      <w:pPr>
        <w:rPr>
          <w:b/>
          <w:bCs/>
        </w:rPr>
      </w:pPr>
      <w:r>
        <w:t>The Company had o</w:t>
      </w:r>
      <w:r w:rsidR="00114D3D">
        <w:t xml:space="preserve">ther income </w:t>
      </w:r>
      <w:r>
        <w:t xml:space="preserve">of </w:t>
      </w:r>
      <w:r w:rsidR="00114D3D">
        <w:t>$</w:t>
      </w:r>
      <w:r w:rsidR="00BC2F13">
        <w:t>69,2</w:t>
      </w:r>
      <w:r w:rsidR="00AD2080">
        <w:t>80</w:t>
      </w:r>
      <w:r w:rsidR="000F0F95">
        <w:t xml:space="preserve"> during Q</w:t>
      </w:r>
      <w:r w:rsidR="00121A7F">
        <w:t>1</w:t>
      </w:r>
      <w:r w:rsidR="000F0F95">
        <w:t xml:space="preserve"> 202</w:t>
      </w:r>
      <w:r w:rsidR="00121A7F">
        <w:t>2</w:t>
      </w:r>
      <w:r w:rsidR="00114D3D">
        <w:t xml:space="preserve">, compared to </w:t>
      </w:r>
      <w:r w:rsidR="009A77AD">
        <w:t>other</w:t>
      </w:r>
      <w:r w:rsidR="00114D3D">
        <w:t xml:space="preserve"> expense of $</w:t>
      </w:r>
      <w:r w:rsidR="00170494">
        <w:t xml:space="preserve">30,652 </w:t>
      </w:r>
      <w:r w:rsidR="00114D3D">
        <w:t>during Q</w:t>
      </w:r>
      <w:r w:rsidR="00121A7F">
        <w:t>1</w:t>
      </w:r>
      <w:r w:rsidR="00114D3D">
        <w:t xml:space="preserve"> 202</w:t>
      </w:r>
      <w:r w:rsidR="00121A7F">
        <w:t>1</w:t>
      </w:r>
      <w:r w:rsidR="00114D3D">
        <w:t xml:space="preserve">. </w:t>
      </w:r>
      <w:r>
        <w:t>Other income</w:t>
      </w:r>
      <w:r w:rsidR="004316CE">
        <w:t xml:space="preserve"> in Q</w:t>
      </w:r>
      <w:r w:rsidR="00121A7F">
        <w:t>1</w:t>
      </w:r>
      <w:r w:rsidR="004316CE">
        <w:t xml:space="preserve"> 202</w:t>
      </w:r>
      <w:r w:rsidR="00121A7F">
        <w:t>2</w:t>
      </w:r>
      <w:r>
        <w:t xml:space="preserve"> </w:t>
      </w:r>
      <w:r w:rsidR="00132F7A">
        <w:t xml:space="preserve">mainly </w:t>
      </w:r>
      <w:r>
        <w:t>resulted from</w:t>
      </w:r>
      <w:r w:rsidR="004316CE">
        <w:t xml:space="preserve"> the </w:t>
      </w:r>
      <w:r w:rsidR="00132F7A">
        <w:t>lease allowance receivable from the head landlords</w:t>
      </w:r>
      <w:r w:rsidR="004316CE">
        <w:t xml:space="preserve"> in </w:t>
      </w:r>
      <w:r w:rsidR="000B2D7F">
        <w:t>two</w:t>
      </w:r>
      <w:r w:rsidR="004316CE">
        <w:t xml:space="preserve"> of the Company’s TMC clinics of $</w:t>
      </w:r>
      <w:r w:rsidR="00D30616">
        <w:t>160,124</w:t>
      </w:r>
      <w:r w:rsidR="004316CE">
        <w:t xml:space="preserve"> offset by other expenses comprised primarily of interest and accretion. Other expense in Q</w:t>
      </w:r>
      <w:r w:rsidR="001C3A09">
        <w:t>1</w:t>
      </w:r>
      <w:r w:rsidR="004316CE">
        <w:t xml:space="preserve"> 202</w:t>
      </w:r>
      <w:r w:rsidR="001C3A09">
        <w:t>1</w:t>
      </w:r>
      <w:r w:rsidR="004316CE">
        <w:t xml:space="preserve"> was primarily comprised of interest and accretion expense.</w:t>
      </w:r>
    </w:p>
    <w:p w14:paraId="05343293" w14:textId="06EC2648" w:rsidR="009A77AD" w:rsidRDefault="009A77AD" w:rsidP="00F16619"/>
    <w:p w14:paraId="2C855BF8" w14:textId="77777777" w:rsidR="00F16619" w:rsidRDefault="00F16619" w:rsidP="00F16619"/>
    <w:p w14:paraId="503BD24A" w14:textId="2930E27D" w:rsidR="009D2B96" w:rsidRPr="005D3BD4" w:rsidRDefault="008210D3" w:rsidP="009D2B96">
      <w:pPr>
        <w:pStyle w:val="Heading2"/>
        <w:rPr>
          <w:sz w:val="24"/>
          <w:szCs w:val="24"/>
        </w:rPr>
      </w:pPr>
      <w:r>
        <w:rPr>
          <w:sz w:val="24"/>
          <w:szCs w:val="24"/>
        </w:rPr>
        <w:t>First</w:t>
      </w:r>
      <w:r w:rsidR="00D82017" w:rsidRPr="005D3BD4">
        <w:rPr>
          <w:sz w:val="24"/>
          <w:szCs w:val="24"/>
        </w:rPr>
        <w:t xml:space="preserve"> Quarter C</w:t>
      </w:r>
      <w:r w:rsidR="009D2B96" w:rsidRPr="005D3BD4">
        <w:rPr>
          <w:sz w:val="24"/>
          <w:szCs w:val="24"/>
        </w:rPr>
        <w:t xml:space="preserve">ash </w:t>
      </w:r>
      <w:r w:rsidR="00D82017" w:rsidRPr="005D3BD4">
        <w:rPr>
          <w:sz w:val="24"/>
          <w:szCs w:val="24"/>
        </w:rPr>
        <w:t>F</w:t>
      </w:r>
      <w:r w:rsidR="009D2B96" w:rsidRPr="005D3BD4">
        <w:rPr>
          <w:sz w:val="24"/>
          <w:szCs w:val="24"/>
        </w:rPr>
        <w:t>low</w:t>
      </w:r>
      <w:r w:rsidR="00D82017" w:rsidRPr="005D3BD4">
        <w:rPr>
          <w:sz w:val="24"/>
          <w:szCs w:val="24"/>
        </w:rPr>
        <w:t>s</w:t>
      </w:r>
    </w:p>
    <w:p w14:paraId="21FF3C99" w14:textId="0D6C3C3D" w:rsidR="009D2B96" w:rsidRDefault="009D2B96" w:rsidP="009D2B96"/>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2"/>
        <w:gridCol w:w="1473"/>
        <w:gridCol w:w="1473"/>
      </w:tblGrid>
      <w:tr w:rsidR="004316CE" w:rsidRPr="005E3661" w14:paraId="0061CEEC" w14:textId="77777777" w:rsidTr="00170494">
        <w:trPr>
          <w:trHeight w:val="20"/>
        </w:trPr>
        <w:tc>
          <w:tcPr>
            <w:tcW w:w="3426" w:type="pct"/>
            <w:tcBorders>
              <w:top w:val="single" w:sz="4" w:space="0" w:color="auto"/>
              <w:bottom w:val="single" w:sz="12" w:space="0" w:color="auto"/>
            </w:tcBorders>
          </w:tcPr>
          <w:p w14:paraId="39E174C1" w14:textId="77777777" w:rsidR="004316CE" w:rsidRPr="005E3661" w:rsidRDefault="004316CE" w:rsidP="002C7FEC"/>
        </w:tc>
        <w:tc>
          <w:tcPr>
            <w:tcW w:w="787" w:type="pct"/>
            <w:tcBorders>
              <w:top w:val="single" w:sz="4" w:space="0" w:color="auto"/>
              <w:bottom w:val="single" w:sz="12" w:space="0" w:color="auto"/>
            </w:tcBorders>
            <w:vAlign w:val="bottom"/>
          </w:tcPr>
          <w:p w14:paraId="196E6631" w14:textId="4D911305" w:rsidR="004316CE" w:rsidRPr="00787AD1" w:rsidRDefault="004316CE" w:rsidP="004316CE">
            <w:pPr>
              <w:jc w:val="right"/>
            </w:pPr>
            <w:r w:rsidRPr="00787AD1">
              <w:rPr>
                <w:b/>
                <w:bCs/>
              </w:rPr>
              <w:t>202</w:t>
            </w:r>
            <w:r w:rsidR="00E850C5">
              <w:rPr>
                <w:b/>
                <w:bCs/>
              </w:rPr>
              <w:t>2</w:t>
            </w:r>
          </w:p>
        </w:tc>
        <w:tc>
          <w:tcPr>
            <w:tcW w:w="787" w:type="pct"/>
            <w:tcBorders>
              <w:top w:val="single" w:sz="4" w:space="0" w:color="auto"/>
              <w:bottom w:val="single" w:sz="12" w:space="0" w:color="auto"/>
            </w:tcBorders>
            <w:vAlign w:val="bottom"/>
          </w:tcPr>
          <w:p w14:paraId="3B53293D" w14:textId="23CC926B" w:rsidR="004316CE" w:rsidRPr="005E3661" w:rsidRDefault="004316CE" w:rsidP="004316CE">
            <w:pPr>
              <w:jc w:val="right"/>
            </w:pPr>
            <w:r w:rsidRPr="00787AD1">
              <w:t>202</w:t>
            </w:r>
            <w:r w:rsidR="00E850C5">
              <w:t>1</w:t>
            </w:r>
          </w:p>
        </w:tc>
      </w:tr>
      <w:tr w:rsidR="004316CE" w:rsidRPr="005E3661" w14:paraId="4C5810A7" w14:textId="77777777" w:rsidTr="00170494">
        <w:trPr>
          <w:trHeight w:val="20"/>
        </w:trPr>
        <w:tc>
          <w:tcPr>
            <w:tcW w:w="3426" w:type="pct"/>
            <w:tcBorders>
              <w:top w:val="single" w:sz="12" w:space="0" w:color="auto"/>
            </w:tcBorders>
          </w:tcPr>
          <w:p w14:paraId="434BEB55" w14:textId="77777777" w:rsidR="004316CE" w:rsidRPr="005E3661" w:rsidRDefault="004316CE" w:rsidP="002C7FEC"/>
        </w:tc>
        <w:tc>
          <w:tcPr>
            <w:tcW w:w="787" w:type="pct"/>
            <w:tcBorders>
              <w:top w:val="single" w:sz="12" w:space="0" w:color="auto"/>
            </w:tcBorders>
            <w:vAlign w:val="bottom"/>
          </w:tcPr>
          <w:p w14:paraId="445A11FA" w14:textId="365C607A" w:rsidR="004316CE" w:rsidRPr="00787AD1" w:rsidRDefault="004316CE" w:rsidP="004316CE">
            <w:pPr>
              <w:jc w:val="right"/>
            </w:pPr>
            <w:r w:rsidRPr="00787AD1">
              <w:rPr>
                <w:b/>
                <w:bCs/>
              </w:rPr>
              <w:t>$</w:t>
            </w:r>
          </w:p>
        </w:tc>
        <w:tc>
          <w:tcPr>
            <w:tcW w:w="787" w:type="pct"/>
            <w:tcBorders>
              <w:top w:val="single" w:sz="12" w:space="0" w:color="auto"/>
            </w:tcBorders>
            <w:vAlign w:val="bottom"/>
          </w:tcPr>
          <w:p w14:paraId="4E707C29" w14:textId="1382C258" w:rsidR="004316CE" w:rsidRPr="005E3661" w:rsidRDefault="004316CE" w:rsidP="004316CE">
            <w:pPr>
              <w:jc w:val="right"/>
            </w:pPr>
            <w:r w:rsidRPr="00787AD1">
              <w:t>$</w:t>
            </w:r>
          </w:p>
        </w:tc>
      </w:tr>
      <w:tr w:rsidR="00F24933" w:rsidRPr="005E3661" w14:paraId="767E8AB2" w14:textId="77777777" w:rsidTr="00F24933">
        <w:trPr>
          <w:trHeight w:val="20"/>
        </w:trPr>
        <w:tc>
          <w:tcPr>
            <w:tcW w:w="3426" w:type="pct"/>
            <w:vAlign w:val="bottom"/>
          </w:tcPr>
          <w:p w14:paraId="6983B5C0" w14:textId="437E20F4" w:rsidR="00F24933" w:rsidRPr="005E3661" w:rsidRDefault="00F24933" w:rsidP="00F24933">
            <w:pPr>
              <w:ind w:left="179" w:hanging="179"/>
              <w:jc w:val="left"/>
            </w:pPr>
            <w:r w:rsidRPr="005E3661">
              <w:t xml:space="preserve">Net cash </w:t>
            </w:r>
            <w:r>
              <w:t xml:space="preserve">used in </w:t>
            </w:r>
            <w:r w:rsidRPr="005E3661">
              <w:t xml:space="preserve">operating activities </w:t>
            </w:r>
            <w:r>
              <w:t>of</w:t>
            </w:r>
            <w:r w:rsidRPr="005E3661">
              <w:t xml:space="preserve"> continuing operations</w:t>
            </w:r>
          </w:p>
        </w:tc>
        <w:tc>
          <w:tcPr>
            <w:tcW w:w="787" w:type="pct"/>
            <w:vAlign w:val="bottom"/>
          </w:tcPr>
          <w:p w14:paraId="41A92C68" w14:textId="1F61E3B5" w:rsidR="00F24933" w:rsidRPr="00787AD1" w:rsidRDefault="00F24933" w:rsidP="00F24933">
            <w:pPr>
              <w:jc w:val="right"/>
              <w:rPr>
                <w:highlight w:val="yellow"/>
              </w:rPr>
            </w:pPr>
            <w:r>
              <w:rPr>
                <w:b/>
                <w:bCs/>
                <w:color w:val="000000"/>
              </w:rPr>
              <w:t>(1,969,588)</w:t>
            </w:r>
          </w:p>
        </w:tc>
        <w:tc>
          <w:tcPr>
            <w:tcW w:w="787" w:type="pct"/>
            <w:vAlign w:val="bottom"/>
          </w:tcPr>
          <w:p w14:paraId="12197A89" w14:textId="5CCDAA51" w:rsidR="00F24933" w:rsidRPr="00EB34CF" w:rsidRDefault="00F24933" w:rsidP="00F24933">
            <w:pPr>
              <w:jc w:val="right"/>
            </w:pPr>
            <w:r>
              <w:rPr>
                <w:color w:val="000000"/>
              </w:rPr>
              <w:t>(1,215,767)</w:t>
            </w:r>
          </w:p>
        </w:tc>
      </w:tr>
      <w:tr w:rsidR="00F24933" w:rsidRPr="005E3661" w14:paraId="76A0476C" w14:textId="77777777" w:rsidTr="00F24933">
        <w:trPr>
          <w:trHeight w:val="20"/>
        </w:trPr>
        <w:tc>
          <w:tcPr>
            <w:tcW w:w="3426" w:type="pct"/>
            <w:vAlign w:val="bottom"/>
          </w:tcPr>
          <w:p w14:paraId="44C3A2C8" w14:textId="4F87A047" w:rsidR="00F24933" w:rsidRPr="005E3661" w:rsidRDefault="00F24933" w:rsidP="00F24933">
            <w:pPr>
              <w:jc w:val="left"/>
              <w:rPr>
                <w:rFonts w:eastAsia="SimSun"/>
                <w:lang w:eastAsia="zh-CN"/>
              </w:rPr>
            </w:pPr>
            <w:r w:rsidRPr="005E3661">
              <w:t xml:space="preserve">Net cash </w:t>
            </w:r>
            <w:r>
              <w:t xml:space="preserve">used in </w:t>
            </w:r>
            <w:r w:rsidRPr="005E3661">
              <w:t xml:space="preserve">operating activities </w:t>
            </w:r>
            <w:r>
              <w:t>of</w:t>
            </w:r>
            <w:r w:rsidRPr="005E3661">
              <w:t xml:space="preserve"> discontinu</w:t>
            </w:r>
            <w:r>
              <w:t xml:space="preserve">ed </w:t>
            </w:r>
            <w:r w:rsidRPr="005E3661">
              <w:t>operations</w:t>
            </w:r>
          </w:p>
        </w:tc>
        <w:tc>
          <w:tcPr>
            <w:tcW w:w="787" w:type="pct"/>
            <w:vAlign w:val="bottom"/>
          </w:tcPr>
          <w:p w14:paraId="76512BD1" w14:textId="7926A99F" w:rsidR="00F24933" w:rsidRPr="00787AD1" w:rsidRDefault="00F24933" w:rsidP="00F24933">
            <w:pPr>
              <w:jc w:val="right"/>
            </w:pPr>
            <w:r>
              <w:rPr>
                <w:b/>
                <w:bCs/>
                <w:color w:val="000000"/>
              </w:rPr>
              <w:t>(7,482)</w:t>
            </w:r>
          </w:p>
        </w:tc>
        <w:tc>
          <w:tcPr>
            <w:tcW w:w="787" w:type="pct"/>
            <w:vAlign w:val="bottom"/>
          </w:tcPr>
          <w:p w14:paraId="230AF686" w14:textId="1BF8FA07" w:rsidR="00F24933" w:rsidRPr="00EB34CF" w:rsidRDefault="00F24933" w:rsidP="00F24933">
            <w:pPr>
              <w:jc w:val="right"/>
            </w:pPr>
            <w:r>
              <w:rPr>
                <w:color w:val="000000"/>
              </w:rPr>
              <w:t>(228,684)</w:t>
            </w:r>
          </w:p>
        </w:tc>
      </w:tr>
      <w:tr w:rsidR="00F24933" w:rsidRPr="005E3661" w14:paraId="0348C6FC" w14:textId="77777777" w:rsidTr="00F24933">
        <w:trPr>
          <w:trHeight w:val="20"/>
        </w:trPr>
        <w:tc>
          <w:tcPr>
            <w:tcW w:w="3426" w:type="pct"/>
            <w:vAlign w:val="bottom"/>
          </w:tcPr>
          <w:p w14:paraId="1C5870CA" w14:textId="6A2EB18A" w:rsidR="00F24933" w:rsidRPr="005E3661" w:rsidRDefault="00F24933" w:rsidP="00F24933">
            <w:pPr>
              <w:rPr>
                <w:rFonts w:eastAsia="SimSun"/>
                <w:lang w:eastAsia="zh-CN"/>
              </w:rPr>
            </w:pPr>
          </w:p>
        </w:tc>
        <w:tc>
          <w:tcPr>
            <w:tcW w:w="787" w:type="pct"/>
            <w:vAlign w:val="bottom"/>
          </w:tcPr>
          <w:p w14:paraId="204B9369" w14:textId="77777777" w:rsidR="00F24933" w:rsidRPr="00787AD1" w:rsidRDefault="00F24933" w:rsidP="00F24933">
            <w:pPr>
              <w:jc w:val="right"/>
            </w:pPr>
          </w:p>
        </w:tc>
        <w:tc>
          <w:tcPr>
            <w:tcW w:w="787" w:type="pct"/>
            <w:vAlign w:val="bottom"/>
          </w:tcPr>
          <w:p w14:paraId="0E62E71C" w14:textId="77777777" w:rsidR="00F24933" w:rsidRPr="00EB34CF" w:rsidRDefault="00F24933" w:rsidP="00F24933">
            <w:pPr>
              <w:jc w:val="right"/>
            </w:pPr>
          </w:p>
        </w:tc>
      </w:tr>
      <w:tr w:rsidR="00F24933" w:rsidRPr="005E3661" w14:paraId="4124E212" w14:textId="77777777" w:rsidTr="00F24933">
        <w:trPr>
          <w:trHeight w:val="20"/>
        </w:trPr>
        <w:tc>
          <w:tcPr>
            <w:tcW w:w="3426" w:type="pct"/>
            <w:vAlign w:val="bottom"/>
          </w:tcPr>
          <w:p w14:paraId="328B2114" w14:textId="39C6FC0F" w:rsidR="00F24933" w:rsidRPr="005E3661" w:rsidRDefault="00F24933" w:rsidP="00F24933">
            <w:pPr>
              <w:rPr>
                <w:rFonts w:eastAsia="SimSun"/>
                <w:lang w:eastAsia="zh-CN"/>
              </w:rPr>
            </w:pPr>
            <w:r w:rsidRPr="005E3661">
              <w:t xml:space="preserve">Net cash </w:t>
            </w:r>
            <w:r w:rsidR="00E850C5">
              <w:t xml:space="preserve">provided </w:t>
            </w:r>
            <w:r w:rsidR="00564E3B">
              <w:t xml:space="preserve">by </w:t>
            </w:r>
            <w:r w:rsidR="00242303">
              <w:t>(</w:t>
            </w:r>
            <w:r w:rsidRPr="005E3661">
              <w:t>used in</w:t>
            </w:r>
            <w:r w:rsidR="00242303">
              <w:t>)</w:t>
            </w:r>
            <w:r w:rsidRPr="005E3661">
              <w:t xml:space="preserve"> investing activities</w:t>
            </w:r>
            <w:r>
              <w:t xml:space="preserve"> of continuing operations</w:t>
            </w:r>
          </w:p>
        </w:tc>
        <w:tc>
          <w:tcPr>
            <w:tcW w:w="787" w:type="pct"/>
            <w:vAlign w:val="bottom"/>
          </w:tcPr>
          <w:p w14:paraId="210878E8" w14:textId="65910EBD" w:rsidR="00F24933" w:rsidRPr="00787AD1" w:rsidRDefault="00F24933" w:rsidP="00F24933">
            <w:pPr>
              <w:jc w:val="right"/>
            </w:pPr>
            <w:r>
              <w:rPr>
                <w:b/>
                <w:bCs/>
                <w:color w:val="000000"/>
              </w:rPr>
              <w:t>113,342</w:t>
            </w:r>
          </w:p>
        </w:tc>
        <w:tc>
          <w:tcPr>
            <w:tcW w:w="787" w:type="pct"/>
            <w:vAlign w:val="bottom"/>
          </w:tcPr>
          <w:p w14:paraId="5D131BF8" w14:textId="0F9A86AA" w:rsidR="00F24933" w:rsidRPr="00EB34CF" w:rsidRDefault="00F24933" w:rsidP="00F24933">
            <w:pPr>
              <w:jc w:val="right"/>
            </w:pPr>
            <w:r>
              <w:rPr>
                <w:color w:val="000000"/>
              </w:rPr>
              <w:t>(57,546)</w:t>
            </w:r>
          </w:p>
        </w:tc>
      </w:tr>
      <w:tr w:rsidR="00F24933" w:rsidRPr="005E3661" w14:paraId="61C6F183" w14:textId="77777777" w:rsidTr="00F24933">
        <w:trPr>
          <w:trHeight w:val="20"/>
        </w:trPr>
        <w:tc>
          <w:tcPr>
            <w:tcW w:w="3426" w:type="pct"/>
            <w:vAlign w:val="bottom"/>
          </w:tcPr>
          <w:p w14:paraId="7BA523B3" w14:textId="5BBF4C94" w:rsidR="00F24933" w:rsidRPr="005E3661" w:rsidRDefault="00F24933" w:rsidP="00F24933">
            <w:pPr>
              <w:rPr>
                <w:rFonts w:eastAsia="SimSun"/>
                <w:lang w:eastAsia="zh-CN"/>
              </w:rPr>
            </w:pPr>
          </w:p>
        </w:tc>
        <w:tc>
          <w:tcPr>
            <w:tcW w:w="787" w:type="pct"/>
            <w:vAlign w:val="bottom"/>
          </w:tcPr>
          <w:p w14:paraId="4E80F16B" w14:textId="77777777" w:rsidR="00F24933" w:rsidRPr="00787AD1" w:rsidRDefault="00F24933" w:rsidP="00F24933">
            <w:pPr>
              <w:jc w:val="right"/>
            </w:pPr>
          </w:p>
        </w:tc>
        <w:tc>
          <w:tcPr>
            <w:tcW w:w="787" w:type="pct"/>
            <w:vAlign w:val="bottom"/>
          </w:tcPr>
          <w:p w14:paraId="43BA6BD0" w14:textId="77777777" w:rsidR="00F24933" w:rsidRPr="00EB34CF" w:rsidRDefault="00F24933" w:rsidP="00F24933">
            <w:pPr>
              <w:jc w:val="right"/>
            </w:pPr>
          </w:p>
        </w:tc>
      </w:tr>
      <w:tr w:rsidR="00F24933" w:rsidRPr="005E3661" w14:paraId="1334A6AD" w14:textId="77777777" w:rsidTr="00F24933">
        <w:trPr>
          <w:trHeight w:val="20"/>
        </w:trPr>
        <w:tc>
          <w:tcPr>
            <w:tcW w:w="3426" w:type="pct"/>
            <w:vAlign w:val="bottom"/>
          </w:tcPr>
          <w:p w14:paraId="4853B8BF" w14:textId="7E97A162" w:rsidR="00F24933" w:rsidRPr="005E3661" w:rsidRDefault="00F24933" w:rsidP="00F24933">
            <w:pPr>
              <w:jc w:val="left"/>
              <w:rPr>
                <w:rFonts w:eastAsia="SimSun"/>
                <w:lang w:eastAsia="zh-CN"/>
              </w:rPr>
            </w:pPr>
            <w:r w:rsidRPr="005E3661">
              <w:t>Net cash provided by financing activities</w:t>
            </w:r>
            <w:r>
              <w:t xml:space="preserve"> of continuing operations</w:t>
            </w:r>
          </w:p>
        </w:tc>
        <w:tc>
          <w:tcPr>
            <w:tcW w:w="787" w:type="pct"/>
            <w:vAlign w:val="bottom"/>
          </w:tcPr>
          <w:p w14:paraId="7AE735B1" w14:textId="59A47F1D" w:rsidR="00F24933" w:rsidRPr="00787AD1" w:rsidRDefault="00F24933" w:rsidP="00F24933">
            <w:pPr>
              <w:jc w:val="right"/>
            </w:pPr>
            <w:r>
              <w:rPr>
                <w:b/>
                <w:bCs/>
                <w:color w:val="000000"/>
              </w:rPr>
              <w:t>3,573,057</w:t>
            </w:r>
          </w:p>
        </w:tc>
        <w:tc>
          <w:tcPr>
            <w:tcW w:w="787" w:type="pct"/>
            <w:vAlign w:val="bottom"/>
          </w:tcPr>
          <w:p w14:paraId="1303C8A2" w14:textId="08FC262D" w:rsidR="00F24933" w:rsidRPr="00EB34CF" w:rsidRDefault="00F24933" w:rsidP="00F24933">
            <w:pPr>
              <w:jc w:val="right"/>
            </w:pPr>
            <w:r>
              <w:rPr>
                <w:color w:val="000000"/>
              </w:rPr>
              <w:t>2,913,614</w:t>
            </w:r>
          </w:p>
        </w:tc>
      </w:tr>
      <w:tr w:rsidR="00F24933" w:rsidRPr="005E3661" w14:paraId="25B1D107" w14:textId="77777777" w:rsidTr="00F24933">
        <w:trPr>
          <w:trHeight w:val="20"/>
        </w:trPr>
        <w:tc>
          <w:tcPr>
            <w:tcW w:w="3426" w:type="pct"/>
            <w:vAlign w:val="bottom"/>
          </w:tcPr>
          <w:p w14:paraId="21C039FD" w14:textId="7099A9ED" w:rsidR="00F24933" w:rsidRPr="005E3661" w:rsidRDefault="00F24933" w:rsidP="00F24933">
            <w:pPr>
              <w:ind w:left="179" w:hanging="179"/>
              <w:jc w:val="left"/>
              <w:rPr>
                <w:rFonts w:eastAsia="SimSun"/>
                <w:lang w:eastAsia="zh-CN"/>
              </w:rPr>
            </w:pPr>
            <w:r>
              <w:rPr>
                <w:rFonts w:eastAsia="SimSun"/>
                <w:lang w:eastAsia="zh-CN"/>
              </w:rPr>
              <w:t>Net cash used in financing activities of discontinued operations</w:t>
            </w:r>
          </w:p>
        </w:tc>
        <w:tc>
          <w:tcPr>
            <w:tcW w:w="787" w:type="pct"/>
            <w:vAlign w:val="bottom"/>
          </w:tcPr>
          <w:p w14:paraId="73A6A3D8" w14:textId="09419307" w:rsidR="00F24933" w:rsidRPr="00787AD1" w:rsidRDefault="00F24933" w:rsidP="00F24933">
            <w:pPr>
              <w:jc w:val="right"/>
            </w:pPr>
            <w:r>
              <w:rPr>
                <w:b/>
                <w:bCs/>
                <w:color w:val="000000"/>
              </w:rPr>
              <w:t>-</w:t>
            </w:r>
          </w:p>
        </w:tc>
        <w:tc>
          <w:tcPr>
            <w:tcW w:w="787" w:type="pct"/>
            <w:vAlign w:val="bottom"/>
          </w:tcPr>
          <w:p w14:paraId="5AE887E2" w14:textId="34F61C55" w:rsidR="00F24933" w:rsidRPr="00EB34CF" w:rsidRDefault="00F24933" w:rsidP="00F24933">
            <w:pPr>
              <w:jc w:val="right"/>
            </w:pPr>
            <w:r>
              <w:rPr>
                <w:color w:val="000000"/>
              </w:rPr>
              <w:t>(33,608)</w:t>
            </w:r>
          </w:p>
        </w:tc>
      </w:tr>
      <w:tr w:rsidR="00F24933" w:rsidRPr="005E3661" w14:paraId="3A06D497" w14:textId="77777777" w:rsidTr="00F24933">
        <w:trPr>
          <w:trHeight w:val="20"/>
        </w:trPr>
        <w:tc>
          <w:tcPr>
            <w:tcW w:w="3426" w:type="pct"/>
            <w:vAlign w:val="bottom"/>
          </w:tcPr>
          <w:p w14:paraId="7F04FED1" w14:textId="77777777" w:rsidR="00F24933" w:rsidRPr="005E3661" w:rsidRDefault="00F24933" w:rsidP="00F24933">
            <w:pPr>
              <w:rPr>
                <w:rFonts w:eastAsia="SimSun"/>
                <w:lang w:eastAsia="zh-CN"/>
              </w:rPr>
            </w:pPr>
          </w:p>
        </w:tc>
        <w:tc>
          <w:tcPr>
            <w:tcW w:w="787" w:type="pct"/>
            <w:vAlign w:val="bottom"/>
          </w:tcPr>
          <w:p w14:paraId="352EC5CE" w14:textId="77777777" w:rsidR="00F24933" w:rsidRPr="00787AD1" w:rsidRDefault="00F24933" w:rsidP="00F24933">
            <w:pPr>
              <w:jc w:val="right"/>
            </w:pPr>
          </w:p>
        </w:tc>
        <w:tc>
          <w:tcPr>
            <w:tcW w:w="787" w:type="pct"/>
            <w:vAlign w:val="bottom"/>
          </w:tcPr>
          <w:p w14:paraId="5E673FC8" w14:textId="77777777" w:rsidR="00F24933" w:rsidRPr="00EB34CF" w:rsidRDefault="00F24933" w:rsidP="00F24933">
            <w:pPr>
              <w:jc w:val="right"/>
            </w:pPr>
          </w:p>
        </w:tc>
      </w:tr>
      <w:tr w:rsidR="00F24933" w:rsidRPr="005E3661" w14:paraId="64A015E6" w14:textId="77777777" w:rsidTr="00F24933">
        <w:trPr>
          <w:trHeight w:val="20"/>
        </w:trPr>
        <w:tc>
          <w:tcPr>
            <w:tcW w:w="3426" w:type="pct"/>
            <w:vAlign w:val="bottom"/>
          </w:tcPr>
          <w:p w14:paraId="1D884A43" w14:textId="02D5BC31" w:rsidR="00F24933" w:rsidRPr="005E3661" w:rsidRDefault="00F24933" w:rsidP="00F24933">
            <w:pPr>
              <w:rPr>
                <w:rFonts w:eastAsia="SimSun"/>
                <w:lang w:eastAsia="zh-CN"/>
              </w:rPr>
            </w:pPr>
            <w:r>
              <w:t>Effects of foreign exchange on cash</w:t>
            </w:r>
          </w:p>
        </w:tc>
        <w:tc>
          <w:tcPr>
            <w:tcW w:w="787" w:type="pct"/>
            <w:vAlign w:val="bottom"/>
          </w:tcPr>
          <w:p w14:paraId="42E7D035" w14:textId="3E3908D0" w:rsidR="00F24933" w:rsidRPr="00787AD1" w:rsidRDefault="00F24933" w:rsidP="00F24933">
            <w:pPr>
              <w:jc w:val="right"/>
            </w:pPr>
            <w:r>
              <w:rPr>
                <w:b/>
                <w:bCs/>
                <w:color w:val="000000"/>
              </w:rPr>
              <w:t>(56,756)</w:t>
            </w:r>
          </w:p>
        </w:tc>
        <w:tc>
          <w:tcPr>
            <w:tcW w:w="787" w:type="pct"/>
            <w:vAlign w:val="bottom"/>
          </w:tcPr>
          <w:p w14:paraId="522B5D1D" w14:textId="10751A48" w:rsidR="00F24933" w:rsidRPr="00EB34CF" w:rsidRDefault="00F24933" w:rsidP="00F24933">
            <w:pPr>
              <w:jc w:val="right"/>
            </w:pPr>
            <w:r>
              <w:rPr>
                <w:color w:val="000000"/>
              </w:rPr>
              <w:t>-</w:t>
            </w:r>
          </w:p>
        </w:tc>
      </w:tr>
      <w:tr w:rsidR="00F24933" w:rsidRPr="005E3661" w14:paraId="72ED73F7" w14:textId="77777777" w:rsidTr="00F24933">
        <w:trPr>
          <w:trHeight w:val="20"/>
        </w:trPr>
        <w:tc>
          <w:tcPr>
            <w:tcW w:w="3426" w:type="pct"/>
            <w:vAlign w:val="bottom"/>
          </w:tcPr>
          <w:p w14:paraId="46DE43EE" w14:textId="5CA148E4" w:rsidR="00F24933" w:rsidRPr="005E3661" w:rsidRDefault="00F24933" w:rsidP="00F24933">
            <w:pPr>
              <w:rPr>
                <w:rFonts w:eastAsia="SimSun"/>
                <w:lang w:eastAsia="zh-CN"/>
              </w:rPr>
            </w:pPr>
          </w:p>
        </w:tc>
        <w:tc>
          <w:tcPr>
            <w:tcW w:w="787" w:type="pct"/>
            <w:vAlign w:val="bottom"/>
          </w:tcPr>
          <w:p w14:paraId="4394D42C" w14:textId="77777777" w:rsidR="00F24933" w:rsidRPr="00787AD1" w:rsidRDefault="00F24933" w:rsidP="00F24933">
            <w:pPr>
              <w:jc w:val="right"/>
            </w:pPr>
          </w:p>
        </w:tc>
        <w:tc>
          <w:tcPr>
            <w:tcW w:w="787" w:type="pct"/>
            <w:vAlign w:val="bottom"/>
          </w:tcPr>
          <w:p w14:paraId="3F9C86D5" w14:textId="77777777" w:rsidR="00F24933" w:rsidRPr="00EB34CF" w:rsidRDefault="00F24933" w:rsidP="00F24933">
            <w:pPr>
              <w:jc w:val="right"/>
            </w:pPr>
          </w:p>
        </w:tc>
      </w:tr>
      <w:tr w:rsidR="00F24933" w:rsidRPr="005E3661" w14:paraId="488D435D" w14:textId="77777777" w:rsidTr="00170494">
        <w:trPr>
          <w:trHeight w:val="20"/>
        </w:trPr>
        <w:tc>
          <w:tcPr>
            <w:tcW w:w="3426" w:type="pct"/>
            <w:tcBorders>
              <w:bottom w:val="single" w:sz="12" w:space="0" w:color="auto"/>
            </w:tcBorders>
            <w:vAlign w:val="bottom"/>
          </w:tcPr>
          <w:p w14:paraId="4180E857" w14:textId="18399C88" w:rsidR="00F24933" w:rsidRPr="005E3661" w:rsidRDefault="00242303" w:rsidP="00F24933">
            <w:pPr>
              <w:rPr>
                <w:rFonts w:eastAsia="SimSun"/>
                <w:lang w:eastAsia="zh-CN"/>
              </w:rPr>
            </w:pPr>
            <w:r>
              <w:t>I</w:t>
            </w:r>
            <w:r w:rsidR="00F24933">
              <w:t>ncrease</w:t>
            </w:r>
            <w:r w:rsidR="00F24933" w:rsidRPr="005E3661">
              <w:t xml:space="preserve"> in cash</w:t>
            </w:r>
            <w:r w:rsidR="00F24933">
              <w:t xml:space="preserve"> and restricted cash</w:t>
            </w:r>
          </w:p>
        </w:tc>
        <w:tc>
          <w:tcPr>
            <w:tcW w:w="787" w:type="pct"/>
            <w:tcBorders>
              <w:bottom w:val="single" w:sz="12" w:space="0" w:color="auto"/>
            </w:tcBorders>
            <w:vAlign w:val="bottom"/>
          </w:tcPr>
          <w:p w14:paraId="24106735" w14:textId="58E60CB9" w:rsidR="00F24933" w:rsidRPr="00787AD1" w:rsidRDefault="00F24933" w:rsidP="00F24933">
            <w:pPr>
              <w:jc w:val="right"/>
            </w:pPr>
            <w:r>
              <w:rPr>
                <w:b/>
                <w:bCs/>
                <w:color w:val="000000"/>
              </w:rPr>
              <w:t>1,652,573</w:t>
            </w:r>
          </w:p>
        </w:tc>
        <w:tc>
          <w:tcPr>
            <w:tcW w:w="787" w:type="pct"/>
            <w:tcBorders>
              <w:bottom w:val="single" w:sz="12" w:space="0" w:color="auto"/>
            </w:tcBorders>
            <w:vAlign w:val="bottom"/>
          </w:tcPr>
          <w:p w14:paraId="245413ED" w14:textId="19034FC3" w:rsidR="00F24933" w:rsidRPr="00C56032" w:rsidRDefault="00F24933" w:rsidP="00F24933">
            <w:pPr>
              <w:jc w:val="right"/>
            </w:pPr>
            <w:r>
              <w:rPr>
                <w:color w:val="000000"/>
              </w:rPr>
              <w:t>1,378,009</w:t>
            </w:r>
          </w:p>
        </w:tc>
      </w:tr>
    </w:tbl>
    <w:p w14:paraId="0C4F9D58" w14:textId="655400C0" w:rsidR="002C7FEC" w:rsidRDefault="002C7FEC" w:rsidP="009D2B96"/>
    <w:p w14:paraId="00C79EF2" w14:textId="711AC0FE" w:rsidR="009D2B96" w:rsidRPr="005E3661" w:rsidRDefault="009D2B96" w:rsidP="009D2B96">
      <w:r w:rsidRPr="005E3661">
        <w:t xml:space="preserve">Review of </w:t>
      </w:r>
      <w:r w:rsidR="009A77AD">
        <w:t xml:space="preserve">the Company’s </w:t>
      </w:r>
      <w:r w:rsidRPr="005E3661">
        <w:t>cash flow</w:t>
      </w:r>
      <w:r w:rsidR="009A77AD">
        <w:t>s</w:t>
      </w:r>
      <w:r w:rsidRPr="005E3661">
        <w:t xml:space="preserve"> from continuing operations </w:t>
      </w:r>
      <w:r w:rsidR="009A77AD">
        <w:t xml:space="preserve">during </w:t>
      </w:r>
      <w:r w:rsidRPr="005E3661">
        <w:t>Q</w:t>
      </w:r>
      <w:r w:rsidR="00BE5782">
        <w:t>1</w:t>
      </w:r>
      <w:r w:rsidRPr="005E3661">
        <w:t xml:space="preserve"> 202</w:t>
      </w:r>
      <w:r w:rsidR="00BE5782">
        <w:t>2</w:t>
      </w:r>
      <w:r w:rsidRPr="005E3661">
        <w:t xml:space="preserve"> compared to Q</w:t>
      </w:r>
      <w:r w:rsidR="00BE5782">
        <w:t>1</w:t>
      </w:r>
      <w:r w:rsidRPr="005E3661">
        <w:t xml:space="preserve"> 202</w:t>
      </w:r>
      <w:r w:rsidR="00BE5782">
        <w:t>1</w:t>
      </w:r>
      <w:r w:rsidRPr="005E3661">
        <w:t>:</w:t>
      </w:r>
    </w:p>
    <w:p w14:paraId="052950E1" w14:textId="77777777" w:rsidR="009D2B96" w:rsidRPr="005E3661" w:rsidRDefault="009D2B96" w:rsidP="009D2B96"/>
    <w:p w14:paraId="1D108C9A" w14:textId="6AA5229C" w:rsidR="009D2B96" w:rsidRDefault="009D2B96" w:rsidP="009D2B96">
      <w:r w:rsidRPr="00CF45CD">
        <w:t xml:space="preserve">Cash </w:t>
      </w:r>
      <w:r w:rsidR="007B3ACD" w:rsidRPr="00CF45CD">
        <w:t>used in</w:t>
      </w:r>
      <w:r w:rsidRPr="00CF45CD">
        <w:t xml:space="preserve"> operating activities</w:t>
      </w:r>
      <w:r w:rsidR="008C5664">
        <w:t xml:space="preserve"> of continuing operations </w:t>
      </w:r>
      <w:r w:rsidR="004C50F7">
        <w:t>during Q</w:t>
      </w:r>
      <w:r w:rsidR="004C520F">
        <w:t>1</w:t>
      </w:r>
      <w:r w:rsidR="004C50F7">
        <w:t xml:space="preserve"> 202</w:t>
      </w:r>
      <w:r w:rsidR="004C520F">
        <w:t>2</w:t>
      </w:r>
      <w:r w:rsidRPr="00CF45CD">
        <w:t xml:space="preserve"> was $</w:t>
      </w:r>
      <w:r w:rsidR="004C520F" w:rsidRPr="004C520F">
        <w:t>1,969,588</w:t>
      </w:r>
      <w:r w:rsidRPr="00CF45CD">
        <w:t xml:space="preserve"> compared </w:t>
      </w:r>
      <w:r w:rsidR="00394715" w:rsidRPr="00CF45CD">
        <w:t>to</w:t>
      </w:r>
      <w:r w:rsidRPr="00CF45CD">
        <w:t xml:space="preserve"> $</w:t>
      </w:r>
      <w:r w:rsidR="00E87511" w:rsidRPr="00E87511">
        <w:t>1,215,767</w:t>
      </w:r>
      <w:r w:rsidRPr="00CF45CD">
        <w:t xml:space="preserve"> during Q</w:t>
      </w:r>
      <w:r w:rsidR="00E87511">
        <w:t>1</w:t>
      </w:r>
      <w:r w:rsidRPr="00CF45CD">
        <w:t xml:space="preserve"> 202</w:t>
      </w:r>
      <w:r w:rsidR="00E87511">
        <w:t>1</w:t>
      </w:r>
      <w:r w:rsidRPr="00CF45CD">
        <w:t xml:space="preserve">. </w:t>
      </w:r>
      <w:r w:rsidR="00D125F6">
        <w:t>Greater</w:t>
      </w:r>
      <w:r w:rsidR="00E87511">
        <w:t xml:space="preserve"> amount of c</w:t>
      </w:r>
      <w:r w:rsidR="00CF45CD" w:rsidRPr="00CF45CD">
        <w:t xml:space="preserve">ash used in operating activities </w:t>
      </w:r>
      <w:r w:rsidR="00B67709">
        <w:t>was resulted from</w:t>
      </w:r>
      <w:r w:rsidR="0024250E" w:rsidRPr="00CF45CD">
        <w:t xml:space="preserve"> </w:t>
      </w:r>
      <w:r w:rsidR="00E87511">
        <w:t>lower</w:t>
      </w:r>
      <w:r w:rsidR="00B67709">
        <w:t xml:space="preserve"> revenue and </w:t>
      </w:r>
      <w:r w:rsidR="00927831">
        <w:t>lower gross margin during the current year period compared to prior year period.</w:t>
      </w:r>
      <w:r w:rsidR="00E87511">
        <w:t xml:space="preserve"> </w:t>
      </w:r>
    </w:p>
    <w:p w14:paraId="1EEEAC26" w14:textId="77777777" w:rsidR="009D2B96" w:rsidRPr="005D0F7C" w:rsidRDefault="009D2B96" w:rsidP="009D2B96"/>
    <w:p w14:paraId="454EEAD5" w14:textId="34AC0323" w:rsidR="009D2B96" w:rsidRPr="005E3661" w:rsidRDefault="009D2B96" w:rsidP="009D2B96">
      <w:r w:rsidRPr="005E3661">
        <w:t>Cash</w:t>
      </w:r>
      <w:r w:rsidR="00D053FE">
        <w:t xml:space="preserve"> provided</w:t>
      </w:r>
      <w:r w:rsidRPr="005E3661">
        <w:t xml:space="preserve"> </w:t>
      </w:r>
      <w:r w:rsidR="006B524E">
        <w:t>by</w:t>
      </w:r>
      <w:r w:rsidRPr="005E3661">
        <w:t xml:space="preserve"> investing activities</w:t>
      </w:r>
      <w:r w:rsidR="008C5664">
        <w:t xml:space="preserve"> of continuing operations</w:t>
      </w:r>
      <w:r w:rsidRPr="005E3661">
        <w:t xml:space="preserve"> </w:t>
      </w:r>
      <w:r w:rsidR="000F0F95">
        <w:t>during Q</w:t>
      </w:r>
      <w:r w:rsidR="00D125F6">
        <w:t>1</w:t>
      </w:r>
      <w:r w:rsidR="000F0F95">
        <w:t xml:space="preserve"> 202</w:t>
      </w:r>
      <w:r w:rsidR="00D125F6">
        <w:t>2</w:t>
      </w:r>
      <w:r w:rsidR="000F0F95">
        <w:t xml:space="preserve"> </w:t>
      </w:r>
      <w:r w:rsidRPr="005D0F7C">
        <w:t>was $</w:t>
      </w:r>
      <w:r w:rsidR="00D053FE" w:rsidRPr="00D053FE">
        <w:t>113,342</w:t>
      </w:r>
      <w:r w:rsidRPr="005E3661">
        <w:t xml:space="preserve">, compared to </w:t>
      </w:r>
      <w:r w:rsidR="00D053FE">
        <w:t xml:space="preserve">cash used of </w:t>
      </w:r>
      <w:r w:rsidRPr="005E3661">
        <w:t>$</w:t>
      </w:r>
      <w:r w:rsidR="00D053FE" w:rsidRPr="00D053FE">
        <w:t>57,546</w:t>
      </w:r>
      <w:r w:rsidRPr="005E3661">
        <w:t xml:space="preserve"> </w:t>
      </w:r>
      <w:r w:rsidRPr="005D0F7C">
        <w:t>during Q</w:t>
      </w:r>
      <w:r w:rsidR="00A9465E">
        <w:t>1</w:t>
      </w:r>
      <w:r w:rsidRPr="005D0F7C">
        <w:t xml:space="preserve"> 202</w:t>
      </w:r>
      <w:r w:rsidR="00A9465E">
        <w:t>1</w:t>
      </w:r>
      <w:r w:rsidR="005D0F7C" w:rsidRPr="005D0F7C">
        <w:t xml:space="preserve">. The </w:t>
      </w:r>
      <w:r w:rsidR="00D8728F">
        <w:t>increase was</w:t>
      </w:r>
      <w:r w:rsidR="005D0F7C" w:rsidRPr="005D0F7C">
        <w:t xml:space="preserve"> </w:t>
      </w:r>
      <w:r w:rsidR="00D8728F">
        <w:t xml:space="preserve">related to </w:t>
      </w:r>
      <w:r w:rsidR="00A9465E">
        <w:t xml:space="preserve">the proceeds from </w:t>
      </w:r>
      <w:r w:rsidR="002B01B9">
        <w:t>the sale</w:t>
      </w:r>
      <w:r w:rsidR="00A9465E">
        <w:t xml:space="preserve"> of the Sun Valley.</w:t>
      </w:r>
    </w:p>
    <w:p w14:paraId="7F93D856" w14:textId="77777777" w:rsidR="009D2B96" w:rsidRPr="005E3661" w:rsidRDefault="009D2B96" w:rsidP="009D2B96">
      <w:pPr>
        <w:rPr>
          <w:highlight w:val="yellow"/>
        </w:rPr>
      </w:pPr>
    </w:p>
    <w:p w14:paraId="6CCC8521" w14:textId="4A2AE7E4" w:rsidR="00342817" w:rsidRDefault="009D2B96" w:rsidP="009D2B96">
      <w:r w:rsidRPr="005E3661">
        <w:lastRenderedPageBreak/>
        <w:t xml:space="preserve">Cash </w:t>
      </w:r>
      <w:r w:rsidR="00257954">
        <w:t xml:space="preserve">provided </w:t>
      </w:r>
      <w:r w:rsidR="006B524E">
        <w:t>by</w:t>
      </w:r>
      <w:r w:rsidR="00D93984">
        <w:t xml:space="preserve"> </w:t>
      </w:r>
      <w:r w:rsidRPr="005E3661">
        <w:t xml:space="preserve">financing activities </w:t>
      </w:r>
      <w:r w:rsidR="00F16619">
        <w:t xml:space="preserve">of continuing operations </w:t>
      </w:r>
      <w:r w:rsidR="003751E8">
        <w:t>in Q</w:t>
      </w:r>
      <w:r w:rsidR="002B01B9">
        <w:t>1</w:t>
      </w:r>
      <w:r w:rsidR="003751E8">
        <w:t xml:space="preserve"> 202</w:t>
      </w:r>
      <w:r w:rsidR="002B01B9">
        <w:t>2</w:t>
      </w:r>
      <w:r w:rsidR="003751E8">
        <w:t xml:space="preserve"> </w:t>
      </w:r>
      <w:r w:rsidRPr="005E3661">
        <w:t>w</w:t>
      </w:r>
      <w:r w:rsidRPr="003751E8">
        <w:t>as</w:t>
      </w:r>
      <w:r w:rsidR="00E071FE">
        <w:t xml:space="preserve"> </w:t>
      </w:r>
      <w:r w:rsidRPr="003751E8">
        <w:t>$</w:t>
      </w:r>
      <w:r w:rsidR="002B01B9" w:rsidRPr="002B01B9">
        <w:t>3,573,057</w:t>
      </w:r>
      <w:r w:rsidRPr="005E3661">
        <w:t xml:space="preserve"> compared to </w:t>
      </w:r>
      <w:r w:rsidR="001309E9">
        <w:t>$</w:t>
      </w:r>
      <w:r w:rsidR="006F0E86" w:rsidRPr="006F0E86">
        <w:t>2,913,614</w:t>
      </w:r>
      <w:r w:rsidRPr="005E3661">
        <w:t xml:space="preserve"> </w:t>
      </w:r>
      <w:r w:rsidR="003751E8">
        <w:t>in</w:t>
      </w:r>
      <w:r w:rsidRPr="005E3661">
        <w:t xml:space="preserve"> Q</w:t>
      </w:r>
      <w:r w:rsidR="006F0E86">
        <w:t>1</w:t>
      </w:r>
      <w:r w:rsidRPr="005E3661">
        <w:t xml:space="preserve"> 202</w:t>
      </w:r>
      <w:r w:rsidR="006F0E86">
        <w:t>1</w:t>
      </w:r>
      <w:r w:rsidRPr="005E3661">
        <w:t>. Cash</w:t>
      </w:r>
      <w:r w:rsidR="00D93984">
        <w:t xml:space="preserve"> </w:t>
      </w:r>
      <w:r w:rsidR="0090204B">
        <w:t>from</w:t>
      </w:r>
      <w:r w:rsidR="00D93984">
        <w:t xml:space="preserve"> </w:t>
      </w:r>
      <w:r w:rsidRPr="005E3661">
        <w:t>financing activities during Q</w:t>
      </w:r>
      <w:r w:rsidR="00C13253">
        <w:t>1</w:t>
      </w:r>
      <w:r w:rsidRPr="005E3661">
        <w:t xml:space="preserve"> 202</w:t>
      </w:r>
      <w:r w:rsidR="00C13253">
        <w:t>2</w:t>
      </w:r>
      <w:r w:rsidRPr="005E3661">
        <w:t xml:space="preserve"> </w:t>
      </w:r>
      <w:r w:rsidR="000F0F95">
        <w:t>was</w:t>
      </w:r>
      <w:r w:rsidR="00682552">
        <w:t xml:space="preserve"> primarily related to</w:t>
      </w:r>
      <w:r w:rsidR="00D93984" w:rsidRPr="00D93984">
        <w:t xml:space="preserve"> </w:t>
      </w:r>
      <w:r w:rsidR="00342817">
        <w:t xml:space="preserve">proceeds from private placements which were partly offset by the lease and loan payments. Cash </w:t>
      </w:r>
      <w:r w:rsidR="0090204B">
        <w:t>from financing activities during Q1 2021 was due to the exercise of warrants which was offset by repayment of debt.</w:t>
      </w:r>
    </w:p>
    <w:p w14:paraId="3B373B01" w14:textId="77777777" w:rsidR="00342817" w:rsidRDefault="00342817" w:rsidP="009D2B96"/>
    <w:p w14:paraId="4A81B438" w14:textId="77777777" w:rsidR="005C2EA1" w:rsidRDefault="005C2EA1" w:rsidP="005C2EA1"/>
    <w:p w14:paraId="7EAD5B8A" w14:textId="480031C2" w:rsidR="00515543" w:rsidRPr="005E3661" w:rsidRDefault="00327130" w:rsidP="00327130">
      <w:pPr>
        <w:pStyle w:val="Heading1"/>
      </w:pPr>
      <w:r w:rsidRPr="005E3661">
        <w:t xml:space="preserve">Summary </w:t>
      </w:r>
      <w:r w:rsidR="005D3BD4">
        <w:t>o</w:t>
      </w:r>
      <w:r w:rsidRPr="005E3661">
        <w:t>f Quarterly Results</w:t>
      </w:r>
    </w:p>
    <w:p w14:paraId="5B9DB2FE" w14:textId="77777777" w:rsidR="00515543" w:rsidRPr="005E3661" w:rsidRDefault="00515543" w:rsidP="00B8542F"/>
    <w:p w14:paraId="4BE8AFD6" w14:textId="3462EAB8" w:rsidR="00515543" w:rsidRPr="005E3661" w:rsidRDefault="00C65D0B" w:rsidP="00B8542F">
      <w:pPr>
        <w:rPr>
          <w:sz w:val="20"/>
          <w:szCs w:val="20"/>
        </w:rPr>
      </w:pPr>
      <w:r>
        <w:t>The following summarizes the quarterly results of the Company for the last eight most recently completed quarters:</w:t>
      </w:r>
    </w:p>
    <w:p w14:paraId="6A1527EC" w14:textId="4117872E" w:rsidR="00DC00DF" w:rsidRPr="005E3661" w:rsidRDefault="00DC00DF" w:rsidP="00B8542F"/>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1419"/>
        <w:gridCol w:w="1419"/>
        <w:gridCol w:w="1419"/>
        <w:gridCol w:w="1417"/>
      </w:tblGrid>
      <w:tr w:rsidR="008210D3" w:rsidRPr="00AF520F" w14:paraId="08F82420" w14:textId="77777777" w:rsidTr="003E7DCE">
        <w:trPr>
          <w:trHeight w:val="170"/>
        </w:trPr>
        <w:tc>
          <w:tcPr>
            <w:tcW w:w="1968" w:type="pct"/>
            <w:tcBorders>
              <w:top w:val="single" w:sz="4" w:space="0" w:color="auto"/>
              <w:bottom w:val="single" w:sz="12" w:space="0" w:color="auto"/>
            </w:tcBorders>
            <w:vAlign w:val="bottom"/>
          </w:tcPr>
          <w:p w14:paraId="1832E28B" w14:textId="77777777" w:rsidR="008210D3" w:rsidRPr="00AF520F" w:rsidRDefault="008210D3" w:rsidP="008210D3"/>
        </w:tc>
        <w:tc>
          <w:tcPr>
            <w:tcW w:w="758" w:type="pct"/>
            <w:tcBorders>
              <w:top w:val="single" w:sz="4" w:space="0" w:color="auto"/>
              <w:bottom w:val="single" w:sz="12" w:space="0" w:color="auto"/>
            </w:tcBorders>
            <w:shd w:val="clear" w:color="auto" w:fill="D9D9D9" w:themeFill="background1" w:themeFillShade="D9"/>
            <w:vAlign w:val="bottom"/>
          </w:tcPr>
          <w:p w14:paraId="7329A6B1" w14:textId="38E2D56A" w:rsidR="008210D3" w:rsidRPr="008210D3" w:rsidRDefault="008210D3" w:rsidP="008210D3">
            <w:pPr>
              <w:jc w:val="right"/>
              <w:rPr>
                <w:b/>
                <w:bCs/>
              </w:rPr>
            </w:pPr>
            <w:r w:rsidRPr="008210D3">
              <w:rPr>
                <w:b/>
                <w:bCs/>
              </w:rPr>
              <w:t>Q1 2022</w:t>
            </w:r>
          </w:p>
        </w:tc>
        <w:tc>
          <w:tcPr>
            <w:tcW w:w="758" w:type="pct"/>
            <w:tcBorders>
              <w:top w:val="single" w:sz="4" w:space="0" w:color="auto"/>
              <w:bottom w:val="single" w:sz="12" w:space="0" w:color="auto"/>
            </w:tcBorders>
            <w:shd w:val="clear" w:color="auto" w:fill="auto"/>
            <w:vAlign w:val="bottom"/>
          </w:tcPr>
          <w:p w14:paraId="1FECB6FC" w14:textId="4872584A" w:rsidR="008210D3" w:rsidRPr="008210D3" w:rsidRDefault="008210D3" w:rsidP="008210D3">
            <w:pPr>
              <w:jc w:val="right"/>
            </w:pPr>
            <w:r w:rsidRPr="008210D3">
              <w:t>Q4 2021</w:t>
            </w:r>
          </w:p>
        </w:tc>
        <w:tc>
          <w:tcPr>
            <w:tcW w:w="758" w:type="pct"/>
            <w:tcBorders>
              <w:top w:val="single" w:sz="4" w:space="0" w:color="auto"/>
              <w:bottom w:val="single" w:sz="12" w:space="0" w:color="auto"/>
            </w:tcBorders>
            <w:shd w:val="clear" w:color="auto" w:fill="auto"/>
            <w:vAlign w:val="bottom"/>
          </w:tcPr>
          <w:p w14:paraId="57349D90" w14:textId="7608C990" w:rsidR="008210D3" w:rsidRPr="00AF520F" w:rsidRDefault="008210D3" w:rsidP="008210D3">
            <w:pPr>
              <w:jc w:val="right"/>
            </w:pPr>
            <w:r w:rsidRPr="00E72D9E">
              <w:t>Q3 2021</w:t>
            </w:r>
          </w:p>
        </w:tc>
        <w:tc>
          <w:tcPr>
            <w:tcW w:w="757" w:type="pct"/>
            <w:tcBorders>
              <w:top w:val="single" w:sz="4" w:space="0" w:color="auto"/>
              <w:bottom w:val="single" w:sz="12" w:space="0" w:color="auto"/>
            </w:tcBorders>
            <w:shd w:val="clear" w:color="auto" w:fill="auto"/>
            <w:vAlign w:val="bottom"/>
          </w:tcPr>
          <w:p w14:paraId="188D8A1C" w14:textId="3A68DDE3" w:rsidR="008210D3" w:rsidRPr="00AF520F" w:rsidRDefault="008210D3" w:rsidP="008210D3">
            <w:pPr>
              <w:jc w:val="right"/>
            </w:pPr>
            <w:r w:rsidRPr="00AF520F">
              <w:t>Q2 2021</w:t>
            </w:r>
          </w:p>
        </w:tc>
      </w:tr>
      <w:tr w:rsidR="008210D3" w:rsidRPr="00AF520F" w14:paraId="06A7500B" w14:textId="77777777" w:rsidTr="003E7DCE">
        <w:trPr>
          <w:trHeight w:val="170"/>
        </w:trPr>
        <w:tc>
          <w:tcPr>
            <w:tcW w:w="1968" w:type="pct"/>
            <w:tcBorders>
              <w:top w:val="single" w:sz="12" w:space="0" w:color="auto"/>
            </w:tcBorders>
            <w:vAlign w:val="bottom"/>
          </w:tcPr>
          <w:p w14:paraId="42F59E8C" w14:textId="77777777" w:rsidR="008210D3" w:rsidRPr="00AF520F" w:rsidRDefault="008210D3" w:rsidP="008210D3"/>
        </w:tc>
        <w:tc>
          <w:tcPr>
            <w:tcW w:w="758" w:type="pct"/>
            <w:tcBorders>
              <w:top w:val="single" w:sz="12" w:space="0" w:color="auto"/>
            </w:tcBorders>
            <w:shd w:val="clear" w:color="auto" w:fill="D9D9D9" w:themeFill="background1" w:themeFillShade="D9"/>
            <w:vAlign w:val="bottom"/>
          </w:tcPr>
          <w:p w14:paraId="63D039B9" w14:textId="38121AB8" w:rsidR="008210D3" w:rsidRPr="008210D3" w:rsidRDefault="008210D3" w:rsidP="008210D3">
            <w:pPr>
              <w:jc w:val="right"/>
              <w:rPr>
                <w:b/>
                <w:bCs/>
              </w:rPr>
            </w:pPr>
            <w:r w:rsidRPr="008210D3">
              <w:rPr>
                <w:b/>
                <w:bCs/>
              </w:rPr>
              <w:t>$</w:t>
            </w:r>
          </w:p>
        </w:tc>
        <w:tc>
          <w:tcPr>
            <w:tcW w:w="758" w:type="pct"/>
            <w:tcBorders>
              <w:top w:val="single" w:sz="12" w:space="0" w:color="auto"/>
            </w:tcBorders>
            <w:shd w:val="clear" w:color="auto" w:fill="auto"/>
            <w:vAlign w:val="bottom"/>
          </w:tcPr>
          <w:p w14:paraId="46435861" w14:textId="635EC476" w:rsidR="008210D3" w:rsidRPr="008210D3" w:rsidRDefault="008210D3" w:rsidP="008210D3">
            <w:pPr>
              <w:jc w:val="right"/>
            </w:pPr>
            <w:r w:rsidRPr="008210D3">
              <w:t>$</w:t>
            </w:r>
          </w:p>
        </w:tc>
        <w:tc>
          <w:tcPr>
            <w:tcW w:w="758" w:type="pct"/>
            <w:tcBorders>
              <w:top w:val="single" w:sz="12" w:space="0" w:color="auto"/>
            </w:tcBorders>
            <w:shd w:val="clear" w:color="auto" w:fill="auto"/>
            <w:vAlign w:val="bottom"/>
          </w:tcPr>
          <w:p w14:paraId="20A269D7" w14:textId="37ECA202" w:rsidR="008210D3" w:rsidRPr="00AF520F" w:rsidRDefault="008210D3" w:rsidP="008210D3">
            <w:pPr>
              <w:jc w:val="right"/>
            </w:pPr>
            <w:r w:rsidRPr="00E72D9E">
              <w:t>$</w:t>
            </w:r>
          </w:p>
        </w:tc>
        <w:tc>
          <w:tcPr>
            <w:tcW w:w="757" w:type="pct"/>
            <w:tcBorders>
              <w:top w:val="single" w:sz="12" w:space="0" w:color="auto"/>
            </w:tcBorders>
            <w:shd w:val="clear" w:color="auto" w:fill="auto"/>
            <w:vAlign w:val="bottom"/>
          </w:tcPr>
          <w:p w14:paraId="11C32677" w14:textId="5E2EBE1F" w:rsidR="008210D3" w:rsidRPr="00AF520F" w:rsidRDefault="008210D3" w:rsidP="008210D3">
            <w:pPr>
              <w:jc w:val="right"/>
            </w:pPr>
            <w:r>
              <w:t>$</w:t>
            </w:r>
          </w:p>
        </w:tc>
      </w:tr>
      <w:tr w:rsidR="00BB5970" w:rsidRPr="00AF520F" w14:paraId="676524EB" w14:textId="77777777" w:rsidTr="00C26E22">
        <w:trPr>
          <w:trHeight w:val="170"/>
        </w:trPr>
        <w:tc>
          <w:tcPr>
            <w:tcW w:w="1968" w:type="pct"/>
            <w:vAlign w:val="bottom"/>
          </w:tcPr>
          <w:p w14:paraId="74EF768A" w14:textId="6BD1C383" w:rsidR="00BB5970" w:rsidRPr="00AF520F" w:rsidRDefault="00BB5970" w:rsidP="00BB5970">
            <w:r w:rsidRPr="00AF520F">
              <w:t>Total revenue</w:t>
            </w:r>
          </w:p>
        </w:tc>
        <w:tc>
          <w:tcPr>
            <w:tcW w:w="758" w:type="pct"/>
            <w:shd w:val="clear" w:color="auto" w:fill="D9D9D9" w:themeFill="background1" w:themeFillShade="D9"/>
            <w:vAlign w:val="center"/>
          </w:tcPr>
          <w:p w14:paraId="21A392C8" w14:textId="38CD7C7F" w:rsidR="00BB5970" w:rsidRPr="008210D3" w:rsidRDefault="00BB5970" w:rsidP="00BB5970">
            <w:pPr>
              <w:jc w:val="right"/>
              <w:rPr>
                <w:b/>
                <w:bCs/>
                <w:highlight w:val="yellow"/>
              </w:rPr>
            </w:pPr>
            <w:r>
              <w:rPr>
                <w:b/>
                <w:bCs/>
                <w:color w:val="000000"/>
              </w:rPr>
              <w:t>1,107</w:t>
            </w:r>
          </w:p>
        </w:tc>
        <w:tc>
          <w:tcPr>
            <w:tcW w:w="758" w:type="pct"/>
            <w:shd w:val="clear" w:color="auto" w:fill="auto"/>
            <w:vAlign w:val="center"/>
          </w:tcPr>
          <w:p w14:paraId="1B42C5DF" w14:textId="49A4057E" w:rsidR="00BB5970" w:rsidRPr="00452B7B" w:rsidRDefault="00BB5970" w:rsidP="00BB5970">
            <w:pPr>
              <w:jc w:val="right"/>
            </w:pPr>
            <w:r>
              <w:rPr>
                <w:color w:val="000000"/>
              </w:rPr>
              <w:t>1,142</w:t>
            </w:r>
          </w:p>
        </w:tc>
        <w:tc>
          <w:tcPr>
            <w:tcW w:w="758" w:type="pct"/>
            <w:shd w:val="clear" w:color="auto" w:fill="auto"/>
            <w:vAlign w:val="center"/>
          </w:tcPr>
          <w:p w14:paraId="6BADACDD" w14:textId="5AA8CACF" w:rsidR="00BB5970" w:rsidRPr="00AF520F" w:rsidRDefault="00BB5970" w:rsidP="00BB5970">
            <w:pPr>
              <w:jc w:val="right"/>
              <w:rPr>
                <w:highlight w:val="yellow"/>
              </w:rPr>
            </w:pPr>
            <w:r>
              <w:rPr>
                <w:color w:val="000000"/>
              </w:rPr>
              <w:t>406</w:t>
            </w:r>
          </w:p>
        </w:tc>
        <w:tc>
          <w:tcPr>
            <w:tcW w:w="757" w:type="pct"/>
            <w:shd w:val="clear" w:color="auto" w:fill="auto"/>
            <w:vAlign w:val="center"/>
          </w:tcPr>
          <w:p w14:paraId="00CD849D" w14:textId="256D5BD3" w:rsidR="00BB5970" w:rsidRPr="00AF520F" w:rsidRDefault="00BB5970" w:rsidP="00BB5970">
            <w:pPr>
              <w:jc w:val="right"/>
              <w:rPr>
                <w:highlight w:val="yellow"/>
              </w:rPr>
            </w:pPr>
            <w:r>
              <w:rPr>
                <w:color w:val="000000"/>
              </w:rPr>
              <w:t>862</w:t>
            </w:r>
          </w:p>
        </w:tc>
      </w:tr>
      <w:tr w:rsidR="00BB5970" w:rsidRPr="00AF520F" w14:paraId="744EA6B9" w14:textId="77777777" w:rsidTr="00C26E22">
        <w:trPr>
          <w:trHeight w:val="170"/>
        </w:trPr>
        <w:tc>
          <w:tcPr>
            <w:tcW w:w="1968" w:type="pct"/>
            <w:vAlign w:val="bottom"/>
          </w:tcPr>
          <w:p w14:paraId="2E4639D1" w14:textId="049D9557" w:rsidR="00BB5970" w:rsidRPr="00AF520F" w:rsidRDefault="00BB5970" w:rsidP="00BB5970">
            <w:pPr>
              <w:ind w:right="-184"/>
            </w:pPr>
            <w:r>
              <w:t>Loss</w:t>
            </w:r>
            <w:r w:rsidRPr="00AF520F">
              <w:t xml:space="preserve"> from continuing operations</w:t>
            </w:r>
          </w:p>
        </w:tc>
        <w:tc>
          <w:tcPr>
            <w:tcW w:w="758" w:type="pct"/>
            <w:shd w:val="clear" w:color="auto" w:fill="D9D9D9" w:themeFill="background1" w:themeFillShade="D9"/>
            <w:vAlign w:val="center"/>
          </w:tcPr>
          <w:p w14:paraId="5724E230" w14:textId="1C4D6513" w:rsidR="00BB5970" w:rsidRPr="008210D3" w:rsidRDefault="00BB5970" w:rsidP="00BB5970">
            <w:pPr>
              <w:jc w:val="right"/>
              <w:rPr>
                <w:b/>
                <w:bCs/>
                <w:highlight w:val="yellow"/>
              </w:rPr>
            </w:pPr>
            <w:r>
              <w:rPr>
                <w:b/>
                <w:bCs/>
                <w:color w:val="000000"/>
              </w:rPr>
              <w:t>(2,299)</w:t>
            </w:r>
          </w:p>
        </w:tc>
        <w:tc>
          <w:tcPr>
            <w:tcW w:w="758" w:type="pct"/>
            <w:shd w:val="clear" w:color="auto" w:fill="auto"/>
            <w:vAlign w:val="center"/>
          </w:tcPr>
          <w:p w14:paraId="3D062E6B" w14:textId="4B3E7836" w:rsidR="00BB5970" w:rsidRPr="00452B7B" w:rsidRDefault="00BB5970" w:rsidP="00BB5970">
            <w:pPr>
              <w:jc w:val="right"/>
            </w:pPr>
            <w:r>
              <w:rPr>
                <w:color w:val="000000"/>
              </w:rPr>
              <w:t>(4,684)</w:t>
            </w:r>
          </w:p>
        </w:tc>
        <w:tc>
          <w:tcPr>
            <w:tcW w:w="758" w:type="pct"/>
            <w:shd w:val="clear" w:color="auto" w:fill="auto"/>
            <w:vAlign w:val="center"/>
          </w:tcPr>
          <w:p w14:paraId="312F96B0" w14:textId="6598C164" w:rsidR="00BB5970" w:rsidRPr="00AF520F" w:rsidRDefault="00BB5970" w:rsidP="00BB5970">
            <w:pPr>
              <w:jc w:val="right"/>
              <w:rPr>
                <w:highlight w:val="yellow"/>
              </w:rPr>
            </w:pPr>
            <w:r>
              <w:rPr>
                <w:color w:val="000000"/>
              </w:rPr>
              <w:t>(1,712)</w:t>
            </w:r>
          </w:p>
        </w:tc>
        <w:tc>
          <w:tcPr>
            <w:tcW w:w="757" w:type="pct"/>
            <w:shd w:val="clear" w:color="auto" w:fill="auto"/>
            <w:vAlign w:val="center"/>
          </w:tcPr>
          <w:p w14:paraId="09B4B349" w14:textId="31AC41DF" w:rsidR="00BB5970" w:rsidRPr="00AF520F" w:rsidRDefault="00BB5970" w:rsidP="00BB5970">
            <w:pPr>
              <w:jc w:val="right"/>
              <w:rPr>
                <w:highlight w:val="yellow"/>
              </w:rPr>
            </w:pPr>
            <w:r>
              <w:rPr>
                <w:color w:val="000000"/>
              </w:rPr>
              <w:t>(412)</w:t>
            </w:r>
          </w:p>
        </w:tc>
      </w:tr>
      <w:tr w:rsidR="00BB5970" w:rsidRPr="00AF520F" w14:paraId="4269C3DB" w14:textId="77777777" w:rsidTr="00C26E22">
        <w:trPr>
          <w:trHeight w:val="170"/>
        </w:trPr>
        <w:tc>
          <w:tcPr>
            <w:tcW w:w="1968" w:type="pct"/>
            <w:vAlign w:val="bottom"/>
          </w:tcPr>
          <w:p w14:paraId="4AAEA438" w14:textId="5E61DB02" w:rsidR="00BB5970" w:rsidRPr="00AF520F" w:rsidRDefault="00BB5970" w:rsidP="00BB5970">
            <w:r>
              <w:t>Loss</w:t>
            </w:r>
            <w:r w:rsidRPr="00AF520F">
              <w:t xml:space="preserve"> per </w:t>
            </w:r>
            <w:r>
              <w:t>share - basic and diluted</w:t>
            </w:r>
          </w:p>
        </w:tc>
        <w:tc>
          <w:tcPr>
            <w:tcW w:w="758" w:type="pct"/>
            <w:shd w:val="clear" w:color="auto" w:fill="D9D9D9" w:themeFill="background1" w:themeFillShade="D9"/>
            <w:vAlign w:val="center"/>
          </w:tcPr>
          <w:p w14:paraId="28DED1BC" w14:textId="5B5CF3BA" w:rsidR="00BB5970" w:rsidRPr="008210D3" w:rsidRDefault="00BB5970" w:rsidP="00BB5970">
            <w:pPr>
              <w:jc w:val="right"/>
              <w:rPr>
                <w:b/>
                <w:bCs/>
                <w:highlight w:val="yellow"/>
              </w:rPr>
            </w:pPr>
            <w:r>
              <w:rPr>
                <w:b/>
                <w:bCs/>
                <w:color w:val="000000"/>
              </w:rPr>
              <w:t>(0.01)</w:t>
            </w:r>
          </w:p>
        </w:tc>
        <w:tc>
          <w:tcPr>
            <w:tcW w:w="758" w:type="pct"/>
            <w:shd w:val="clear" w:color="auto" w:fill="auto"/>
            <w:vAlign w:val="center"/>
          </w:tcPr>
          <w:p w14:paraId="0720E787" w14:textId="0A81DF10" w:rsidR="00BB5970" w:rsidRPr="00452B7B" w:rsidRDefault="00BB5970" w:rsidP="00BB5970">
            <w:pPr>
              <w:jc w:val="right"/>
            </w:pPr>
            <w:r>
              <w:rPr>
                <w:color w:val="000000"/>
              </w:rPr>
              <w:t>(0.01)</w:t>
            </w:r>
          </w:p>
        </w:tc>
        <w:tc>
          <w:tcPr>
            <w:tcW w:w="758" w:type="pct"/>
            <w:shd w:val="clear" w:color="auto" w:fill="auto"/>
            <w:vAlign w:val="center"/>
          </w:tcPr>
          <w:p w14:paraId="145ECB6F" w14:textId="2FC16009" w:rsidR="00BB5970" w:rsidRPr="00AF520F" w:rsidRDefault="00BB5970" w:rsidP="00BB5970">
            <w:pPr>
              <w:jc w:val="right"/>
              <w:rPr>
                <w:highlight w:val="yellow"/>
              </w:rPr>
            </w:pPr>
            <w:r>
              <w:rPr>
                <w:color w:val="000000"/>
              </w:rPr>
              <w:t>0.01</w:t>
            </w:r>
          </w:p>
        </w:tc>
        <w:tc>
          <w:tcPr>
            <w:tcW w:w="757" w:type="pct"/>
            <w:shd w:val="clear" w:color="auto" w:fill="auto"/>
            <w:vAlign w:val="center"/>
          </w:tcPr>
          <w:p w14:paraId="13AF2D4E" w14:textId="00C80ADC" w:rsidR="00BB5970" w:rsidRPr="00AF520F" w:rsidRDefault="00BB5970" w:rsidP="00BB5970">
            <w:pPr>
              <w:jc w:val="right"/>
              <w:rPr>
                <w:highlight w:val="yellow"/>
              </w:rPr>
            </w:pPr>
            <w:r>
              <w:rPr>
                <w:color w:val="000000"/>
              </w:rPr>
              <w:t>(0.00)</w:t>
            </w:r>
          </w:p>
        </w:tc>
      </w:tr>
      <w:tr w:rsidR="00BB5970" w:rsidRPr="00AF520F" w14:paraId="5EABB979" w14:textId="77777777" w:rsidTr="00C26E22">
        <w:trPr>
          <w:trHeight w:val="170"/>
        </w:trPr>
        <w:tc>
          <w:tcPr>
            <w:tcW w:w="1968" w:type="pct"/>
            <w:vAlign w:val="bottom"/>
          </w:tcPr>
          <w:p w14:paraId="7AF86E30" w14:textId="77777777" w:rsidR="00BB5970" w:rsidRPr="00AF520F" w:rsidRDefault="00BB5970" w:rsidP="00BB5970">
            <w:r w:rsidRPr="00AF520F">
              <w:t>Cash dividends declared</w:t>
            </w:r>
          </w:p>
        </w:tc>
        <w:tc>
          <w:tcPr>
            <w:tcW w:w="758" w:type="pct"/>
            <w:shd w:val="clear" w:color="auto" w:fill="D9D9D9" w:themeFill="background1" w:themeFillShade="D9"/>
            <w:vAlign w:val="center"/>
          </w:tcPr>
          <w:p w14:paraId="27A8137C" w14:textId="1CC12157" w:rsidR="00BB5970" w:rsidRPr="008210D3" w:rsidRDefault="00BB5970" w:rsidP="00BB5970">
            <w:pPr>
              <w:jc w:val="right"/>
              <w:rPr>
                <w:b/>
                <w:bCs/>
                <w:highlight w:val="yellow"/>
              </w:rPr>
            </w:pPr>
            <w:r>
              <w:rPr>
                <w:b/>
                <w:bCs/>
                <w:color w:val="000000"/>
              </w:rPr>
              <w:t>-</w:t>
            </w:r>
          </w:p>
        </w:tc>
        <w:tc>
          <w:tcPr>
            <w:tcW w:w="758" w:type="pct"/>
            <w:shd w:val="clear" w:color="auto" w:fill="auto"/>
            <w:vAlign w:val="center"/>
          </w:tcPr>
          <w:p w14:paraId="7600532F" w14:textId="1F6A7015" w:rsidR="00BB5970" w:rsidRPr="00452B7B" w:rsidRDefault="00BB5970" w:rsidP="00BB5970">
            <w:pPr>
              <w:jc w:val="right"/>
            </w:pPr>
            <w:r>
              <w:rPr>
                <w:color w:val="000000"/>
              </w:rPr>
              <w:t>-</w:t>
            </w:r>
          </w:p>
        </w:tc>
        <w:tc>
          <w:tcPr>
            <w:tcW w:w="758" w:type="pct"/>
            <w:shd w:val="clear" w:color="auto" w:fill="auto"/>
            <w:vAlign w:val="center"/>
          </w:tcPr>
          <w:p w14:paraId="05843BCC" w14:textId="35BDE82E" w:rsidR="00BB5970" w:rsidRPr="00AF520F" w:rsidRDefault="00BB5970" w:rsidP="00BB5970">
            <w:pPr>
              <w:jc w:val="right"/>
              <w:rPr>
                <w:highlight w:val="yellow"/>
              </w:rPr>
            </w:pPr>
            <w:r>
              <w:rPr>
                <w:color w:val="000000"/>
              </w:rPr>
              <w:t>-</w:t>
            </w:r>
          </w:p>
        </w:tc>
        <w:tc>
          <w:tcPr>
            <w:tcW w:w="757" w:type="pct"/>
            <w:shd w:val="clear" w:color="auto" w:fill="auto"/>
            <w:vAlign w:val="center"/>
          </w:tcPr>
          <w:p w14:paraId="3CF6AF31" w14:textId="77DF2026" w:rsidR="00BB5970" w:rsidRPr="00AF520F" w:rsidRDefault="00BB5970" w:rsidP="00BB5970">
            <w:pPr>
              <w:jc w:val="right"/>
              <w:rPr>
                <w:highlight w:val="yellow"/>
              </w:rPr>
            </w:pPr>
            <w:r>
              <w:rPr>
                <w:color w:val="000000"/>
              </w:rPr>
              <w:t>-</w:t>
            </w:r>
          </w:p>
        </w:tc>
      </w:tr>
      <w:tr w:rsidR="00BB5970" w:rsidRPr="00AF520F" w14:paraId="711853A4" w14:textId="77777777" w:rsidTr="00C26E22">
        <w:trPr>
          <w:trHeight w:val="170"/>
        </w:trPr>
        <w:tc>
          <w:tcPr>
            <w:tcW w:w="1968" w:type="pct"/>
            <w:tcBorders>
              <w:bottom w:val="single" w:sz="12" w:space="0" w:color="auto"/>
            </w:tcBorders>
            <w:vAlign w:val="bottom"/>
          </w:tcPr>
          <w:p w14:paraId="45596680" w14:textId="18864931" w:rsidR="00BB5970" w:rsidRPr="00AF520F" w:rsidRDefault="00BB5970" w:rsidP="00BB5970">
            <w:r w:rsidRPr="00AF520F">
              <w:t>Total assets</w:t>
            </w:r>
          </w:p>
        </w:tc>
        <w:tc>
          <w:tcPr>
            <w:tcW w:w="758" w:type="pct"/>
            <w:tcBorders>
              <w:bottom w:val="single" w:sz="12" w:space="0" w:color="auto"/>
            </w:tcBorders>
            <w:shd w:val="clear" w:color="auto" w:fill="D9D9D9" w:themeFill="background1" w:themeFillShade="D9"/>
            <w:vAlign w:val="center"/>
          </w:tcPr>
          <w:p w14:paraId="11BE12AC" w14:textId="20ED809F" w:rsidR="00BB5970" w:rsidRPr="008210D3" w:rsidRDefault="00BB5970" w:rsidP="00BB5970">
            <w:pPr>
              <w:jc w:val="right"/>
              <w:rPr>
                <w:b/>
                <w:bCs/>
                <w:color w:val="000000"/>
              </w:rPr>
            </w:pPr>
            <w:r>
              <w:rPr>
                <w:b/>
                <w:bCs/>
                <w:color w:val="000000"/>
              </w:rPr>
              <w:t>6,028</w:t>
            </w:r>
          </w:p>
        </w:tc>
        <w:tc>
          <w:tcPr>
            <w:tcW w:w="758" w:type="pct"/>
            <w:tcBorders>
              <w:bottom w:val="single" w:sz="12" w:space="0" w:color="auto"/>
            </w:tcBorders>
            <w:shd w:val="clear" w:color="auto" w:fill="auto"/>
            <w:vAlign w:val="center"/>
          </w:tcPr>
          <w:p w14:paraId="43DEFF9D" w14:textId="028CBE34" w:rsidR="00BB5970" w:rsidRPr="00452B7B" w:rsidRDefault="00BB5970" w:rsidP="00BB5970">
            <w:pPr>
              <w:jc w:val="right"/>
            </w:pPr>
            <w:r>
              <w:rPr>
                <w:color w:val="000000"/>
              </w:rPr>
              <w:t>5,037</w:t>
            </w:r>
          </w:p>
        </w:tc>
        <w:tc>
          <w:tcPr>
            <w:tcW w:w="758" w:type="pct"/>
            <w:tcBorders>
              <w:bottom w:val="single" w:sz="12" w:space="0" w:color="auto"/>
            </w:tcBorders>
            <w:shd w:val="clear" w:color="auto" w:fill="auto"/>
            <w:vAlign w:val="center"/>
          </w:tcPr>
          <w:p w14:paraId="5D010D8A" w14:textId="4124B874" w:rsidR="00BB5970" w:rsidRPr="00AF520F" w:rsidRDefault="00BB5970" w:rsidP="00BB5970">
            <w:pPr>
              <w:jc w:val="right"/>
              <w:rPr>
                <w:highlight w:val="yellow"/>
              </w:rPr>
            </w:pPr>
            <w:r>
              <w:rPr>
                <w:color w:val="000000"/>
              </w:rPr>
              <w:t>7,986</w:t>
            </w:r>
          </w:p>
        </w:tc>
        <w:tc>
          <w:tcPr>
            <w:tcW w:w="757" w:type="pct"/>
            <w:tcBorders>
              <w:bottom w:val="single" w:sz="12" w:space="0" w:color="auto"/>
            </w:tcBorders>
            <w:shd w:val="clear" w:color="auto" w:fill="auto"/>
            <w:vAlign w:val="center"/>
          </w:tcPr>
          <w:p w14:paraId="0C71495E" w14:textId="6BAD0EFB" w:rsidR="00BB5970" w:rsidRPr="00AF520F" w:rsidRDefault="00BB5970" w:rsidP="00BB5970">
            <w:pPr>
              <w:jc w:val="right"/>
              <w:rPr>
                <w:highlight w:val="yellow"/>
              </w:rPr>
            </w:pPr>
            <w:r>
              <w:rPr>
                <w:color w:val="000000"/>
              </w:rPr>
              <w:t>10,771</w:t>
            </w:r>
          </w:p>
        </w:tc>
      </w:tr>
    </w:tbl>
    <w:p w14:paraId="00967791" w14:textId="4D313E4F" w:rsidR="00E36A1E" w:rsidRPr="00AF520F" w:rsidRDefault="00E36A1E" w:rsidP="00B8542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1417"/>
        <w:gridCol w:w="1417"/>
        <w:gridCol w:w="1417"/>
        <w:gridCol w:w="1417"/>
      </w:tblGrid>
      <w:tr w:rsidR="00A03E1F" w:rsidRPr="00AF520F" w14:paraId="29B51317" w14:textId="77777777" w:rsidTr="00D962F3">
        <w:trPr>
          <w:trHeight w:val="170"/>
        </w:trPr>
        <w:tc>
          <w:tcPr>
            <w:tcW w:w="1972" w:type="pct"/>
            <w:tcBorders>
              <w:top w:val="single" w:sz="4" w:space="0" w:color="auto"/>
              <w:bottom w:val="single" w:sz="12" w:space="0" w:color="auto"/>
            </w:tcBorders>
          </w:tcPr>
          <w:p w14:paraId="446946A5" w14:textId="77777777" w:rsidR="00A03E1F" w:rsidRPr="00AF520F" w:rsidRDefault="00A03E1F" w:rsidP="00A03E1F"/>
        </w:tc>
        <w:tc>
          <w:tcPr>
            <w:tcW w:w="757" w:type="pct"/>
            <w:tcBorders>
              <w:top w:val="single" w:sz="4" w:space="0" w:color="auto"/>
              <w:bottom w:val="single" w:sz="12" w:space="0" w:color="auto"/>
            </w:tcBorders>
            <w:shd w:val="clear" w:color="auto" w:fill="auto"/>
            <w:vAlign w:val="bottom"/>
          </w:tcPr>
          <w:p w14:paraId="15C81005" w14:textId="41E17310" w:rsidR="00A03E1F" w:rsidRPr="00AF520F" w:rsidRDefault="00A03E1F" w:rsidP="00A03E1F">
            <w:pPr>
              <w:jc w:val="right"/>
              <w:rPr>
                <w:b/>
              </w:rPr>
            </w:pPr>
            <w:r w:rsidRPr="00AF520F">
              <w:t>Q</w:t>
            </w:r>
            <w:r w:rsidR="008210D3">
              <w:t>1</w:t>
            </w:r>
            <w:r w:rsidRPr="00AF520F">
              <w:t xml:space="preserve"> 202</w:t>
            </w:r>
            <w:r w:rsidR="008210D3">
              <w:t>1</w:t>
            </w:r>
          </w:p>
        </w:tc>
        <w:tc>
          <w:tcPr>
            <w:tcW w:w="757" w:type="pct"/>
            <w:tcBorders>
              <w:top w:val="single" w:sz="4" w:space="0" w:color="auto"/>
              <w:bottom w:val="single" w:sz="12" w:space="0" w:color="auto"/>
            </w:tcBorders>
            <w:shd w:val="clear" w:color="auto" w:fill="auto"/>
            <w:vAlign w:val="bottom"/>
          </w:tcPr>
          <w:p w14:paraId="371B4EC2" w14:textId="1BD4D38A" w:rsidR="00A03E1F" w:rsidRPr="00AF520F" w:rsidRDefault="00A03E1F" w:rsidP="00A03E1F">
            <w:pPr>
              <w:jc w:val="right"/>
            </w:pPr>
            <w:r w:rsidRPr="00AF520F">
              <w:t>Q</w:t>
            </w:r>
            <w:r w:rsidR="008210D3">
              <w:t>4</w:t>
            </w:r>
            <w:r w:rsidRPr="00AF520F">
              <w:t xml:space="preserve"> 2020</w:t>
            </w:r>
          </w:p>
        </w:tc>
        <w:tc>
          <w:tcPr>
            <w:tcW w:w="757" w:type="pct"/>
            <w:tcBorders>
              <w:top w:val="single" w:sz="4" w:space="0" w:color="auto"/>
              <w:bottom w:val="single" w:sz="12" w:space="0" w:color="auto"/>
            </w:tcBorders>
            <w:shd w:val="clear" w:color="auto" w:fill="auto"/>
            <w:vAlign w:val="bottom"/>
          </w:tcPr>
          <w:p w14:paraId="2DA93222" w14:textId="03906599" w:rsidR="00A03E1F" w:rsidRPr="00AF520F" w:rsidRDefault="00A03E1F" w:rsidP="00A03E1F">
            <w:pPr>
              <w:jc w:val="right"/>
            </w:pPr>
            <w:r w:rsidRPr="00AF520F">
              <w:t>Q</w:t>
            </w:r>
            <w:r w:rsidR="008210D3">
              <w:t>3</w:t>
            </w:r>
            <w:r w:rsidRPr="00AF520F">
              <w:t xml:space="preserve"> 2020</w:t>
            </w:r>
          </w:p>
        </w:tc>
        <w:tc>
          <w:tcPr>
            <w:tcW w:w="757" w:type="pct"/>
            <w:tcBorders>
              <w:top w:val="single" w:sz="4" w:space="0" w:color="auto"/>
              <w:bottom w:val="single" w:sz="12" w:space="0" w:color="auto"/>
            </w:tcBorders>
            <w:shd w:val="clear" w:color="auto" w:fill="auto"/>
            <w:vAlign w:val="bottom"/>
          </w:tcPr>
          <w:p w14:paraId="4EF50B08" w14:textId="01612BF0" w:rsidR="00A03E1F" w:rsidRPr="00AF520F" w:rsidRDefault="00A03E1F" w:rsidP="00A03E1F">
            <w:pPr>
              <w:jc w:val="right"/>
            </w:pPr>
            <w:r w:rsidRPr="00AF520F">
              <w:t>Q</w:t>
            </w:r>
            <w:r w:rsidR="008210D3">
              <w:t>2</w:t>
            </w:r>
            <w:r w:rsidRPr="00AF520F">
              <w:t xml:space="preserve"> 2020</w:t>
            </w:r>
          </w:p>
        </w:tc>
      </w:tr>
      <w:tr w:rsidR="008210D3" w:rsidRPr="00AF520F" w14:paraId="1AAE9EE3" w14:textId="77777777" w:rsidTr="00D962F3">
        <w:trPr>
          <w:trHeight w:val="170"/>
        </w:trPr>
        <w:tc>
          <w:tcPr>
            <w:tcW w:w="1972" w:type="pct"/>
            <w:tcBorders>
              <w:top w:val="single" w:sz="12" w:space="0" w:color="auto"/>
            </w:tcBorders>
          </w:tcPr>
          <w:p w14:paraId="34B63788" w14:textId="77777777" w:rsidR="008210D3" w:rsidRPr="00AF520F" w:rsidRDefault="008210D3" w:rsidP="008210D3"/>
        </w:tc>
        <w:tc>
          <w:tcPr>
            <w:tcW w:w="757" w:type="pct"/>
            <w:tcBorders>
              <w:top w:val="single" w:sz="12" w:space="0" w:color="auto"/>
            </w:tcBorders>
            <w:shd w:val="clear" w:color="auto" w:fill="auto"/>
            <w:vAlign w:val="bottom"/>
          </w:tcPr>
          <w:p w14:paraId="4D7D2383" w14:textId="38CC896D" w:rsidR="008210D3" w:rsidRPr="00AF520F" w:rsidRDefault="008210D3" w:rsidP="008210D3">
            <w:pPr>
              <w:jc w:val="right"/>
            </w:pPr>
            <w:r>
              <w:t>$</w:t>
            </w:r>
          </w:p>
        </w:tc>
        <w:tc>
          <w:tcPr>
            <w:tcW w:w="757" w:type="pct"/>
            <w:tcBorders>
              <w:top w:val="single" w:sz="12" w:space="0" w:color="auto"/>
            </w:tcBorders>
            <w:shd w:val="clear" w:color="auto" w:fill="auto"/>
            <w:vAlign w:val="bottom"/>
          </w:tcPr>
          <w:p w14:paraId="54C840E4" w14:textId="3CDC66A7" w:rsidR="008210D3" w:rsidRPr="00AF520F" w:rsidRDefault="008210D3" w:rsidP="008210D3">
            <w:pPr>
              <w:jc w:val="right"/>
            </w:pPr>
            <w:r>
              <w:t>$</w:t>
            </w:r>
          </w:p>
        </w:tc>
        <w:tc>
          <w:tcPr>
            <w:tcW w:w="757" w:type="pct"/>
            <w:tcBorders>
              <w:top w:val="single" w:sz="12" w:space="0" w:color="auto"/>
            </w:tcBorders>
            <w:shd w:val="clear" w:color="auto" w:fill="auto"/>
            <w:vAlign w:val="bottom"/>
          </w:tcPr>
          <w:p w14:paraId="216E3EAD" w14:textId="331AB047" w:rsidR="008210D3" w:rsidRPr="00AF520F" w:rsidRDefault="008210D3" w:rsidP="008210D3">
            <w:pPr>
              <w:jc w:val="right"/>
            </w:pPr>
            <w:r>
              <w:t>$</w:t>
            </w:r>
          </w:p>
        </w:tc>
        <w:tc>
          <w:tcPr>
            <w:tcW w:w="757" w:type="pct"/>
            <w:tcBorders>
              <w:top w:val="single" w:sz="12" w:space="0" w:color="auto"/>
            </w:tcBorders>
            <w:shd w:val="clear" w:color="auto" w:fill="auto"/>
            <w:vAlign w:val="bottom"/>
          </w:tcPr>
          <w:p w14:paraId="1D673024" w14:textId="10625115" w:rsidR="008210D3" w:rsidRPr="00AF520F" w:rsidRDefault="008210D3" w:rsidP="008210D3">
            <w:pPr>
              <w:jc w:val="right"/>
            </w:pPr>
            <w:r>
              <w:t>$</w:t>
            </w:r>
          </w:p>
        </w:tc>
      </w:tr>
      <w:tr w:rsidR="00BB5970" w:rsidRPr="00AF520F" w14:paraId="769C8226" w14:textId="77777777" w:rsidTr="003A49D8">
        <w:trPr>
          <w:trHeight w:val="170"/>
        </w:trPr>
        <w:tc>
          <w:tcPr>
            <w:tcW w:w="1972" w:type="pct"/>
            <w:vAlign w:val="bottom"/>
          </w:tcPr>
          <w:p w14:paraId="4BC951D5" w14:textId="7CF4AA86" w:rsidR="00BB5970" w:rsidRPr="00AF520F" w:rsidRDefault="00BB5970" w:rsidP="00BB5970">
            <w:r w:rsidRPr="00AF520F">
              <w:t>Total revenue</w:t>
            </w:r>
          </w:p>
        </w:tc>
        <w:tc>
          <w:tcPr>
            <w:tcW w:w="757" w:type="pct"/>
            <w:shd w:val="clear" w:color="auto" w:fill="auto"/>
            <w:vAlign w:val="center"/>
          </w:tcPr>
          <w:p w14:paraId="055546AD" w14:textId="4A660C74" w:rsidR="00BB5970" w:rsidRPr="00AF520F" w:rsidRDefault="00BB5970" w:rsidP="00BB5970">
            <w:pPr>
              <w:jc w:val="right"/>
              <w:rPr>
                <w:color w:val="000000"/>
                <w:highlight w:val="yellow"/>
              </w:rPr>
            </w:pPr>
            <w:r>
              <w:rPr>
                <w:color w:val="000000"/>
              </w:rPr>
              <w:t>1,958</w:t>
            </w:r>
          </w:p>
        </w:tc>
        <w:tc>
          <w:tcPr>
            <w:tcW w:w="757" w:type="pct"/>
            <w:shd w:val="clear" w:color="auto" w:fill="auto"/>
            <w:vAlign w:val="center"/>
          </w:tcPr>
          <w:p w14:paraId="33851CB6" w14:textId="160B4B30" w:rsidR="00BB5970" w:rsidRPr="008210D3" w:rsidRDefault="00BB5970" w:rsidP="00BB5970">
            <w:pPr>
              <w:jc w:val="right"/>
            </w:pPr>
            <w:r>
              <w:rPr>
                <w:color w:val="000000"/>
              </w:rPr>
              <w:t>738</w:t>
            </w:r>
          </w:p>
        </w:tc>
        <w:tc>
          <w:tcPr>
            <w:tcW w:w="757" w:type="pct"/>
            <w:shd w:val="clear" w:color="auto" w:fill="auto"/>
            <w:vAlign w:val="center"/>
          </w:tcPr>
          <w:p w14:paraId="14AB3EFF" w14:textId="0028320E" w:rsidR="00BB5970" w:rsidRPr="00AF520F" w:rsidRDefault="00BB5970" w:rsidP="00BB5970">
            <w:pPr>
              <w:jc w:val="right"/>
              <w:rPr>
                <w:highlight w:val="yellow"/>
              </w:rPr>
            </w:pPr>
            <w:r>
              <w:rPr>
                <w:color w:val="000000"/>
              </w:rPr>
              <w:t>86</w:t>
            </w:r>
          </w:p>
        </w:tc>
        <w:tc>
          <w:tcPr>
            <w:tcW w:w="757" w:type="pct"/>
            <w:shd w:val="clear" w:color="auto" w:fill="auto"/>
            <w:vAlign w:val="center"/>
          </w:tcPr>
          <w:p w14:paraId="089C7E0E" w14:textId="3A413B23" w:rsidR="00BB5970" w:rsidRPr="00AF520F" w:rsidRDefault="00BB5970" w:rsidP="00BB5970">
            <w:pPr>
              <w:jc w:val="right"/>
              <w:rPr>
                <w:highlight w:val="yellow"/>
              </w:rPr>
            </w:pPr>
            <w:r>
              <w:rPr>
                <w:color w:val="000000"/>
              </w:rPr>
              <w:t>86</w:t>
            </w:r>
          </w:p>
        </w:tc>
      </w:tr>
      <w:tr w:rsidR="00BB5970" w:rsidRPr="00AF520F" w14:paraId="765472A6" w14:textId="77777777" w:rsidTr="003A49D8">
        <w:trPr>
          <w:trHeight w:val="170"/>
        </w:trPr>
        <w:tc>
          <w:tcPr>
            <w:tcW w:w="1972" w:type="pct"/>
            <w:vAlign w:val="bottom"/>
          </w:tcPr>
          <w:p w14:paraId="481F4D95" w14:textId="58E0CC73" w:rsidR="00BB5970" w:rsidRPr="00AF520F" w:rsidRDefault="00BB5970" w:rsidP="00BB5970">
            <w:r w:rsidRPr="00AF520F">
              <w:t>Loss from continuing operations</w:t>
            </w:r>
          </w:p>
        </w:tc>
        <w:tc>
          <w:tcPr>
            <w:tcW w:w="757" w:type="pct"/>
            <w:shd w:val="clear" w:color="auto" w:fill="auto"/>
            <w:vAlign w:val="center"/>
          </w:tcPr>
          <w:p w14:paraId="73F03726" w14:textId="3552B3F5" w:rsidR="00BB5970" w:rsidRPr="00AF520F" w:rsidRDefault="00BB5970" w:rsidP="00BB5970">
            <w:pPr>
              <w:jc w:val="right"/>
              <w:rPr>
                <w:color w:val="000000"/>
                <w:highlight w:val="yellow"/>
              </w:rPr>
            </w:pPr>
            <w:r>
              <w:rPr>
                <w:color w:val="000000"/>
              </w:rPr>
              <w:t>(24,928)</w:t>
            </w:r>
          </w:p>
        </w:tc>
        <w:tc>
          <w:tcPr>
            <w:tcW w:w="757" w:type="pct"/>
            <w:shd w:val="clear" w:color="auto" w:fill="auto"/>
            <w:vAlign w:val="center"/>
          </w:tcPr>
          <w:p w14:paraId="6180ADD4" w14:textId="1E3B1EA8" w:rsidR="00BB5970" w:rsidRPr="008210D3" w:rsidRDefault="00BB5970" w:rsidP="00BB5970">
            <w:pPr>
              <w:jc w:val="right"/>
            </w:pPr>
            <w:r>
              <w:rPr>
                <w:color w:val="000000"/>
              </w:rPr>
              <w:t>(15,289)</w:t>
            </w:r>
          </w:p>
        </w:tc>
        <w:tc>
          <w:tcPr>
            <w:tcW w:w="757" w:type="pct"/>
            <w:shd w:val="clear" w:color="auto" w:fill="auto"/>
            <w:vAlign w:val="center"/>
          </w:tcPr>
          <w:p w14:paraId="20999621" w14:textId="485B8C1A" w:rsidR="00BB5970" w:rsidRPr="00AF520F" w:rsidRDefault="00BB5970" w:rsidP="00BB5970">
            <w:pPr>
              <w:jc w:val="right"/>
              <w:rPr>
                <w:highlight w:val="yellow"/>
              </w:rPr>
            </w:pPr>
            <w:r>
              <w:rPr>
                <w:color w:val="000000"/>
              </w:rPr>
              <w:t>(314)</w:t>
            </w:r>
          </w:p>
        </w:tc>
        <w:tc>
          <w:tcPr>
            <w:tcW w:w="757" w:type="pct"/>
            <w:shd w:val="clear" w:color="auto" w:fill="auto"/>
            <w:vAlign w:val="center"/>
          </w:tcPr>
          <w:p w14:paraId="3F2129FC" w14:textId="17BF00E3" w:rsidR="00BB5970" w:rsidRPr="00AF520F" w:rsidRDefault="00BB5970" w:rsidP="00BB5970">
            <w:pPr>
              <w:jc w:val="right"/>
              <w:rPr>
                <w:highlight w:val="yellow"/>
              </w:rPr>
            </w:pPr>
            <w:r>
              <w:rPr>
                <w:color w:val="000000"/>
              </w:rPr>
              <w:t>(501)</w:t>
            </w:r>
          </w:p>
        </w:tc>
      </w:tr>
      <w:tr w:rsidR="00BB5970" w:rsidRPr="00AF520F" w14:paraId="0E6D937B" w14:textId="77777777" w:rsidTr="00D962F3">
        <w:trPr>
          <w:trHeight w:val="170"/>
        </w:trPr>
        <w:tc>
          <w:tcPr>
            <w:tcW w:w="1972" w:type="pct"/>
            <w:vAlign w:val="bottom"/>
          </w:tcPr>
          <w:p w14:paraId="20BF3CCC" w14:textId="2554CF34" w:rsidR="00BB5970" w:rsidRPr="00AF520F" w:rsidRDefault="00BB5970" w:rsidP="00BB5970">
            <w:r>
              <w:t>Loss</w:t>
            </w:r>
            <w:r w:rsidRPr="00AF520F">
              <w:t xml:space="preserve"> per </w:t>
            </w:r>
            <w:r>
              <w:t>share - basic and diluted</w:t>
            </w:r>
          </w:p>
        </w:tc>
        <w:tc>
          <w:tcPr>
            <w:tcW w:w="757" w:type="pct"/>
            <w:shd w:val="clear" w:color="auto" w:fill="auto"/>
            <w:vAlign w:val="center"/>
          </w:tcPr>
          <w:p w14:paraId="638C2690" w14:textId="7BBB34CE" w:rsidR="00BB5970" w:rsidRPr="00AF520F" w:rsidRDefault="00BB5970" w:rsidP="00BB5970">
            <w:pPr>
              <w:jc w:val="right"/>
              <w:rPr>
                <w:highlight w:val="yellow"/>
              </w:rPr>
            </w:pPr>
            <w:r>
              <w:rPr>
                <w:color w:val="000000"/>
              </w:rPr>
              <w:t>(0.</w:t>
            </w:r>
            <w:r w:rsidR="0077416C">
              <w:rPr>
                <w:color w:val="000000"/>
              </w:rPr>
              <w:t>08</w:t>
            </w:r>
            <w:r>
              <w:rPr>
                <w:color w:val="000000"/>
              </w:rPr>
              <w:t>)</w:t>
            </w:r>
          </w:p>
        </w:tc>
        <w:tc>
          <w:tcPr>
            <w:tcW w:w="757" w:type="pct"/>
            <w:shd w:val="clear" w:color="auto" w:fill="auto"/>
            <w:vAlign w:val="center"/>
          </w:tcPr>
          <w:p w14:paraId="12B054F5" w14:textId="1C15BB95" w:rsidR="00BB5970" w:rsidRPr="008210D3" w:rsidRDefault="00BB5970" w:rsidP="00BB5970">
            <w:pPr>
              <w:jc w:val="right"/>
            </w:pPr>
            <w:r>
              <w:rPr>
                <w:color w:val="000000"/>
              </w:rPr>
              <w:t>(0.06)</w:t>
            </w:r>
          </w:p>
        </w:tc>
        <w:tc>
          <w:tcPr>
            <w:tcW w:w="757" w:type="pct"/>
            <w:shd w:val="clear" w:color="auto" w:fill="auto"/>
            <w:vAlign w:val="center"/>
          </w:tcPr>
          <w:p w14:paraId="11B7EB09" w14:textId="28C81D9C" w:rsidR="00BB5970" w:rsidRPr="00AF520F" w:rsidRDefault="00BB5970" w:rsidP="00BB5970">
            <w:pPr>
              <w:jc w:val="right"/>
              <w:rPr>
                <w:highlight w:val="yellow"/>
              </w:rPr>
            </w:pPr>
            <w:r>
              <w:rPr>
                <w:color w:val="000000"/>
              </w:rPr>
              <w:t>(0.00)</w:t>
            </w:r>
          </w:p>
        </w:tc>
        <w:tc>
          <w:tcPr>
            <w:tcW w:w="757" w:type="pct"/>
            <w:shd w:val="clear" w:color="auto" w:fill="auto"/>
            <w:vAlign w:val="center"/>
          </w:tcPr>
          <w:p w14:paraId="57C07C4E" w14:textId="005BB348" w:rsidR="00BB5970" w:rsidRPr="00AF520F" w:rsidRDefault="00BB5970" w:rsidP="00BB5970">
            <w:pPr>
              <w:jc w:val="right"/>
              <w:rPr>
                <w:highlight w:val="yellow"/>
              </w:rPr>
            </w:pPr>
            <w:r>
              <w:rPr>
                <w:color w:val="000000"/>
              </w:rPr>
              <w:t>(0.00)</w:t>
            </w:r>
          </w:p>
        </w:tc>
      </w:tr>
      <w:tr w:rsidR="00BB5970" w:rsidRPr="00AF520F" w14:paraId="49BD45C1" w14:textId="77777777" w:rsidTr="00D962F3">
        <w:trPr>
          <w:trHeight w:val="170"/>
        </w:trPr>
        <w:tc>
          <w:tcPr>
            <w:tcW w:w="1972" w:type="pct"/>
            <w:vAlign w:val="bottom"/>
          </w:tcPr>
          <w:p w14:paraId="1DB10B50" w14:textId="77777777" w:rsidR="00BB5970" w:rsidRPr="00AF520F" w:rsidRDefault="00BB5970" w:rsidP="00BB5970">
            <w:r w:rsidRPr="00AF520F">
              <w:t>Cash dividends declared</w:t>
            </w:r>
          </w:p>
        </w:tc>
        <w:tc>
          <w:tcPr>
            <w:tcW w:w="757" w:type="pct"/>
            <w:shd w:val="clear" w:color="auto" w:fill="auto"/>
            <w:vAlign w:val="center"/>
          </w:tcPr>
          <w:p w14:paraId="2C0BC079" w14:textId="3159B606" w:rsidR="00BB5970" w:rsidRPr="00AF520F" w:rsidRDefault="00BB5970" w:rsidP="00BB5970">
            <w:pPr>
              <w:jc w:val="right"/>
              <w:rPr>
                <w:color w:val="000000"/>
                <w:highlight w:val="yellow"/>
              </w:rPr>
            </w:pPr>
            <w:r>
              <w:rPr>
                <w:color w:val="000000"/>
              </w:rPr>
              <w:t>-</w:t>
            </w:r>
          </w:p>
        </w:tc>
        <w:tc>
          <w:tcPr>
            <w:tcW w:w="757" w:type="pct"/>
            <w:shd w:val="clear" w:color="auto" w:fill="auto"/>
            <w:vAlign w:val="center"/>
          </w:tcPr>
          <w:p w14:paraId="59E3B593" w14:textId="0515636D" w:rsidR="00BB5970" w:rsidRPr="008210D3" w:rsidRDefault="00BB5970" w:rsidP="00BB5970">
            <w:pPr>
              <w:jc w:val="right"/>
            </w:pPr>
            <w:r>
              <w:rPr>
                <w:color w:val="000000"/>
              </w:rPr>
              <w:t>-</w:t>
            </w:r>
          </w:p>
        </w:tc>
        <w:tc>
          <w:tcPr>
            <w:tcW w:w="757" w:type="pct"/>
            <w:shd w:val="clear" w:color="auto" w:fill="auto"/>
            <w:vAlign w:val="center"/>
          </w:tcPr>
          <w:p w14:paraId="0FB9BD85" w14:textId="682FD1F2" w:rsidR="00BB5970" w:rsidRPr="00AF520F" w:rsidRDefault="00BB5970" w:rsidP="00BB5970">
            <w:pPr>
              <w:jc w:val="right"/>
              <w:rPr>
                <w:highlight w:val="yellow"/>
              </w:rPr>
            </w:pPr>
            <w:r>
              <w:rPr>
                <w:color w:val="000000"/>
              </w:rPr>
              <w:t>-</w:t>
            </w:r>
          </w:p>
        </w:tc>
        <w:tc>
          <w:tcPr>
            <w:tcW w:w="757" w:type="pct"/>
            <w:shd w:val="clear" w:color="auto" w:fill="auto"/>
            <w:vAlign w:val="center"/>
          </w:tcPr>
          <w:p w14:paraId="63A8471E" w14:textId="50CB386A" w:rsidR="00BB5970" w:rsidRPr="00AF520F" w:rsidRDefault="00BB5970" w:rsidP="00BB5970">
            <w:pPr>
              <w:jc w:val="right"/>
              <w:rPr>
                <w:highlight w:val="yellow"/>
              </w:rPr>
            </w:pPr>
            <w:r>
              <w:rPr>
                <w:color w:val="000000"/>
              </w:rPr>
              <w:t>-</w:t>
            </w:r>
          </w:p>
        </w:tc>
      </w:tr>
      <w:tr w:rsidR="00BB5970" w:rsidRPr="00AF520F" w14:paraId="7E91E4DC" w14:textId="77777777" w:rsidTr="00263DFE">
        <w:trPr>
          <w:trHeight w:val="170"/>
        </w:trPr>
        <w:tc>
          <w:tcPr>
            <w:tcW w:w="1972" w:type="pct"/>
            <w:tcBorders>
              <w:bottom w:val="single" w:sz="12" w:space="0" w:color="auto"/>
            </w:tcBorders>
            <w:vAlign w:val="bottom"/>
          </w:tcPr>
          <w:p w14:paraId="66270E4F" w14:textId="654FA0F8" w:rsidR="00BB5970" w:rsidRPr="00AF520F" w:rsidRDefault="00BB5970" w:rsidP="00BB5970">
            <w:r w:rsidRPr="00AF520F">
              <w:t>Total assets</w:t>
            </w:r>
          </w:p>
        </w:tc>
        <w:tc>
          <w:tcPr>
            <w:tcW w:w="757" w:type="pct"/>
            <w:tcBorders>
              <w:bottom w:val="single" w:sz="12" w:space="0" w:color="auto"/>
            </w:tcBorders>
            <w:shd w:val="clear" w:color="auto" w:fill="auto"/>
            <w:vAlign w:val="center"/>
          </w:tcPr>
          <w:p w14:paraId="035CE5B6" w14:textId="5B702BA2" w:rsidR="00BB5970" w:rsidRPr="00AF520F" w:rsidRDefault="00BB5970" w:rsidP="00BB5970">
            <w:pPr>
              <w:jc w:val="right"/>
              <w:rPr>
                <w:highlight w:val="yellow"/>
              </w:rPr>
            </w:pPr>
            <w:r>
              <w:rPr>
                <w:color w:val="000000"/>
              </w:rPr>
              <w:t>11,139</w:t>
            </w:r>
          </w:p>
        </w:tc>
        <w:tc>
          <w:tcPr>
            <w:tcW w:w="757" w:type="pct"/>
            <w:tcBorders>
              <w:bottom w:val="single" w:sz="12" w:space="0" w:color="auto"/>
            </w:tcBorders>
            <w:shd w:val="clear" w:color="auto" w:fill="auto"/>
            <w:vAlign w:val="center"/>
          </w:tcPr>
          <w:p w14:paraId="1DE53802" w14:textId="2FD22EA2" w:rsidR="00BB5970" w:rsidRPr="008210D3" w:rsidRDefault="00BB5970" w:rsidP="00BB5970">
            <w:pPr>
              <w:jc w:val="right"/>
            </w:pPr>
            <w:r>
              <w:rPr>
                <w:color w:val="000000"/>
              </w:rPr>
              <w:t>9,230</w:t>
            </w:r>
          </w:p>
        </w:tc>
        <w:tc>
          <w:tcPr>
            <w:tcW w:w="757" w:type="pct"/>
            <w:tcBorders>
              <w:bottom w:val="single" w:sz="12" w:space="0" w:color="auto"/>
            </w:tcBorders>
            <w:shd w:val="clear" w:color="auto" w:fill="auto"/>
            <w:vAlign w:val="center"/>
          </w:tcPr>
          <w:p w14:paraId="7DA263BD" w14:textId="02FBBD04" w:rsidR="00BB5970" w:rsidRPr="00AF520F" w:rsidRDefault="00BB5970" w:rsidP="00BB5970">
            <w:pPr>
              <w:jc w:val="right"/>
              <w:rPr>
                <w:highlight w:val="yellow"/>
              </w:rPr>
            </w:pPr>
            <w:r>
              <w:rPr>
                <w:color w:val="000000"/>
              </w:rPr>
              <w:t>1,447</w:t>
            </w:r>
          </w:p>
        </w:tc>
        <w:tc>
          <w:tcPr>
            <w:tcW w:w="757" w:type="pct"/>
            <w:tcBorders>
              <w:bottom w:val="single" w:sz="12" w:space="0" w:color="auto"/>
            </w:tcBorders>
            <w:shd w:val="clear" w:color="auto" w:fill="auto"/>
            <w:vAlign w:val="center"/>
          </w:tcPr>
          <w:p w14:paraId="59D940A5" w14:textId="1DE7D85A" w:rsidR="00BB5970" w:rsidRPr="00AF520F" w:rsidRDefault="00BB5970" w:rsidP="00BB5970">
            <w:pPr>
              <w:jc w:val="right"/>
              <w:rPr>
                <w:highlight w:val="yellow"/>
              </w:rPr>
            </w:pPr>
            <w:r>
              <w:rPr>
                <w:color w:val="000000"/>
              </w:rPr>
              <w:t>1,800</w:t>
            </w:r>
          </w:p>
        </w:tc>
      </w:tr>
    </w:tbl>
    <w:p w14:paraId="024C3D4E" w14:textId="30667AA0" w:rsidR="00E67F04" w:rsidRDefault="00E67F04" w:rsidP="00B8542F"/>
    <w:p w14:paraId="1C1C3C4E" w14:textId="77777777" w:rsidR="00515543" w:rsidRPr="005E3661" w:rsidRDefault="00515543" w:rsidP="00B8542F">
      <w:r w:rsidRPr="005E3661">
        <w:t xml:space="preserve">The Company is expected to remain subject to many of the risks common to early-stage enterprises for the foreseeable future, including challenges related to laws, regulations, licensing, integrating and retaining qualified employees; making effective use of limited resources; achieving market acceptance of existing and future solutions; competing against companies with greater financial and technical resources; acquiring and retaining customers; and developing new solutions. </w:t>
      </w:r>
    </w:p>
    <w:p w14:paraId="765659E6" w14:textId="565DC7F2" w:rsidR="00F939A3" w:rsidRDefault="00F939A3" w:rsidP="00B8542F"/>
    <w:p w14:paraId="66CC841A" w14:textId="77777777" w:rsidR="009127D6" w:rsidRPr="005E3661" w:rsidRDefault="009127D6" w:rsidP="00B8542F"/>
    <w:p w14:paraId="4003124E" w14:textId="10CC9D61" w:rsidR="00515543" w:rsidRPr="005E3661" w:rsidRDefault="00327130" w:rsidP="00327130">
      <w:pPr>
        <w:pStyle w:val="Heading1"/>
      </w:pPr>
      <w:r w:rsidRPr="005E3661">
        <w:t>Non-</w:t>
      </w:r>
      <w:r w:rsidR="00515543" w:rsidRPr="005E3661">
        <w:t xml:space="preserve">GAAP </w:t>
      </w:r>
      <w:r w:rsidRPr="005E3661">
        <w:t>Financial Measures</w:t>
      </w:r>
    </w:p>
    <w:p w14:paraId="3ECB040F" w14:textId="0D678354" w:rsidR="007A51FF" w:rsidRPr="005E3661" w:rsidRDefault="007A51FF" w:rsidP="00B8542F"/>
    <w:p w14:paraId="2FAC0348" w14:textId="70EE8CE7" w:rsidR="008E146F" w:rsidRPr="005E3661" w:rsidRDefault="008E146F" w:rsidP="00B8542F">
      <w:r w:rsidRPr="005E3661">
        <w:t>Earnings before interest, taxes, depreciation, and amortization (“EBITDA”) and Adjusted EBITDA are non-GAAP financial measures and accordingly</w:t>
      </w:r>
      <w:r w:rsidR="00CF45CD">
        <w:t>,</w:t>
      </w:r>
      <w:r w:rsidRPr="005E3661">
        <w:t xml:space="preserve"> they are not earnings measures recognized by IFRS and do not carry standard prescribed significance. Moreover, the Company’s method for calculating Adjusted EBITDA may differ from that used by other companies using the same designation. </w:t>
      </w:r>
    </w:p>
    <w:p w14:paraId="7506BCB7" w14:textId="77777777" w:rsidR="008E146F" w:rsidRPr="005E3661" w:rsidRDefault="008E146F" w:rsidP="00B8542F"/>
    <w:p w14:paraId="15D216C4" w14:textId="4D2C69CC" w:rsidR="00E352FF" w:rsidRDefault="008E146F" w:rsidP="006D768B">
      <w:r w:rsidRPr="005E3661">
        <w:t xml:space="preserve">Accordingly, we caution readers that Adjusted EBITDA should not be substituted for determining net income (loss) as an indicator of operating results or as a substitute for cash flows from operating and investing activities. Management believes that, in addition to conventional measures prepared in accordance with </w:t>
      </w:r>
      <w:r w:rsidR="00A859BB" w:rsidRPr="005E3661">
        <w:t>IFRS</w:t>
      </w:r>
      <w:r w:rsidRPr="005E3661">
        <w:t xml:space="preserve">, certain investors use this information to evaluate the Company’s performance and ability to generate cash flow. Accordingly, </w:t>
      </w:r>
      <w:r w:rsidR="00CF45CD">
        <w:t xml:space="preserve">the </w:t>
      </w:r>
      <w:r w:rsidRPr="005E3661">
        <w:t xml:space="preserve">presentation of these measures is to provide additional information and should not be considered in isolation or as a substitute for measures of performance prepared in accordance with </w:t>
      </w:r>
      <w:r w:rsidR="00A859BB" w:rsidRPr="005E3661">
        <w:t>IFRS.</w:t>
      </w:r>
    </w:p>
    <w:p w14:paraId="3BE3A16F" w14:textId="77777777" w:rsidR="006D768B" w:rsidRDefault="006D768B" w:rsidP="006D768B"/>
    <w:p w14:paraId="4812A4DD" w14:textId="77777777" w:rsidR="005C2EA1" w:rsidRDefault="005C2EA1">
      <w:pPr>
        <w:spacing w:after="160" w:line="259" w:lineRule="auto"/>
        <w:jc w:val="left"/>
      </w:pPr>
      <w:r>
        <w:br w:type="page"/>
      </w:r>
    </w:p>
    <w:p w14:paraId="074A494C" w14:textId="627BF27E" w:rsidR="00515543" w:rsidRDefault="008E146F" w:rsidP="00B8542F">
      <w:r w:rsidRPr="005E3661">
        <w:lastRenderedPageBreak/>
        <w:t xml:space="preserve">The following table provides a reconciliation of </w:t>
      </w:r>
      <w:r w:rsidR="00A859BB" w:rsidRPr="005E3661">
        <w:t>A</w:t>
      </w:r>
      <w:r w:rsidRPr="005E3661">
        <w:t xml:space="preserve">djusted </w:t>
      </w:r>
      <w:r w:rsidR="00B25F1F" w:rsidRPr="005E3661">
        <w:t>EBITDA</w:t>
      </w:r>
      <w:r w:rsidRPr="005E3661">
        <w:t xml:space="preserve"> to the consolidated financial statements</w:t>
      </w:r>
      <w:r w:rsidR="00075786">
        <w:t xml:space="preserve"> for </w:t>
      </w:r>
      <w:r w:rsidR="00CF45CD">
        <w:t xml:space="preserve">the </w:t>
      </w:r>
      <w:r w:rsidR="00075786">
        <w:t xml:space="preserve">three months ended </w:t>
      </w:r>
      <w:r w:rsidR="00452B7B">
        <w:t xml:space="preserve">March 31, </w:t>
      </w:r>
      <w:proofErr w:type="gramStart"/>
      <w:r w:rsidR="00452B7B">
        <w:t>2022</w:t>
      </w:r>
      <w:proofErr w:type="gramEnd"/>
      <w:r w:rsidR="00452B7B">
        <w:t xml:space="preserve"> </w:t>
      </w:r>
      <w:r w:rsidR="00ED4D6F">
        <w:t xml:space="preserve">and </w:t>
      </w:r>
      <w:r w:rsidR="002F0D3B">
        <w:t>2021</w:t>
      </w:r>
      <w:r w:rsidRPr="005E3661">
        <w:t>:</w:t>
      </w:r>
    </w:p>
    <w:p w14:paraId="625D357C" w14:textId="2CD9CADD" w:rsidR="008210D3" w:rsidRDefault="008210D3" w:rsidP="00B8542F"/>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2"/>
        <w:gridCol w:w="1473"/>
        <w:gridCol w:w="1473"/>
      </w:tblGrid>
      <w:tr w:rsidR="008210D3" w:rsidRPr="005E3661" w14:paraId="3F78DEAD" w14:textId="77777777" w:rsidTr="00F24933">
        <w:trPr>
          <w:trHeight w:val="20"/>
        </w:trPr>
        <w:tc>
          <w:tcPr>
            <w:tcW w:w="3426" w:type="pct"/>
            <w:tcBorders>
              <w:top w:val="single" w:sz="4" w:space="0" w:color="auto"/>
              <w:bottom w:val="single" w:sz="12" w:space="0" w:color="auto"/>
            </w:tcBorders>
          </w:tcPr>
          <w:p w14:paraId="201FC9ED" w14:textId="77777777" w:rsidR="008210D3" w:rsidRPr="005E3661" w:rsidRDefault="008210D3" w:rsidP="00F640AD"/>
        </w:tc>
        <w:tc>
          <w:tcPr>
            <w:tcW w:w="787" w:type="pct"/>
            <w:tcBorders>
              <w:top w:val="single" w:sz="4" w:space="0" w:color="auto"/>
              <w:bottom w:val="single" w:sz="12" w:space="0" w:color="auto"/>
            </w:tcBorders>
            <w:vAlign w:val="bottom"/>
          </w:tcPr>
          <w:p w14:paraId="7E925EBD" w14:textId="2AFCD8B1" w:rsidR="008210D3" w:rsidRPr="00787AD1" w:rsidRDefault="00AE5614" w:rsidP="00F640AD">
            <w:pPr>
              <w:jc w:val="right"/>
              <w:rPr>
                <w:b/>
                <w:bCs/>
              </w:rPr>
            </w:pPr>
            <w:r>
              <w:rPr>
                <w:b/>
                <w:bCs/>
              </w:rPr>
              <w:t>2022</w:t>
            </w:r>
          </w:p>
        </w:tc>
        <w:tc>
          <w:tcPr>
            <w:tcW w:w="787" w:type="pct"/>
            <w:tcBorders>
              <w:top w:val="single" w:sz="4" w:space="0" w:color="auto"/>
              <w:bottom w:val="single" w:sz="12" w:space="0" w:color="auto"/>
            </w:tcBorders>
            <w:vAlign w:val="bottom"/>
          </w:tcPr>
          <w:p w14:paraId="2B784196" w14:textId="645C4016" w:rsidR="008210D3" w:rsidRPr="00787AD1" w:rsidRDefault="00AE5614" w:rsidP="00F640AD">
            <w:pPr>
              <w:jc w:val="right"/>
            </w:pPr>
            <w:r>
              <w:t>2021</w:t>
            </w:r>
          </w:p>
        </w:tc>
      </w:tr>
      <w:tr w:rsidR="008210D3" w:rsidRPr="005E3661" w14:paraId="75D90D49" w14:textId="77777777" w:rsidTr="00F24933">
        <w:trPr>
          <w:trHeight w:val="20"/>
        </w:trPr>
        <w:tc>
          <w:tcPr>
            <w:tcW w:w="3426" w:type="pct"/>
            <w:tcBorders>
              <w:top w:val="single" w:sz="12" w:space="0" w:color="auto"/>
            </w:tcBorders>
          </w:tcPr>
          <w:p w14:paraId="1B035BC1" w14:textId="77777777" w:rsidR="008210D3" w:rsidRPr="005E3661" w:rsidRDefault="008210D3" w:rsidP="00F640AD"/>
        </w:tc>
        <w:tc>
          <w:tcPr>
            <w:tcW w:w="787" w:type="pct"/>
            <w:tcBorders>
              <w:top w:val="single" w:sz="12" w:space="0" w:color="auto"/>
            </w:tcBorders>
            <w:vAlign w:val="bottom"/>
          </w:tcPr>
          <w:p w14:paraId="6AE3CAD6" w14:textId="77777777" w:rsidR="008210D3" w:rsidRPr="00787AD1" w:rsidRDefault="008210D3" w:rsidP="00F640AD">
            <w:pPr>
              <w:jc w:val="right"/>
            </w:pPr>
            <w:r w:rsidRPr="00787AD1">
              <w:rPr>
                <w:b/>
                <w:bCs/>
              </w:rPr>
              <w:t>$</w:t>
            </w:r>
          </w:p>
        </w:tc>
        <w:tc>
          <w:tcPr>
            <w:tcW w:w="787" w:type="pct"/>
            <w:tcBorders>
              <w:top w:val="single" w:sz="12" w:space="0" w:color="auto"/>
            </w:tcBorders>
            <w:vAlign w:val="bottom"/>
          </w:tcPr>
          <w:p w14:paraId="3FE957C6" w14:textId="77777777" w:rsidR="008210D3" w:rsidRPr="005E3661" w:rsidRDefault="008210D3" w:rsidP="00F640AD">
            <w:pPr>
              <w:jc w:val="right"/>
            </w:pPr>
            <w:r w:rsidRPr="00787AD1">
              <w:t>$</w:t>
            </w:r>
          </w:p>
        </w:tc>
      </w:tr>
      <w:tr w:rsidR="00AA1F63" w:rsidRPr="005E3661" w14:paraId="47196A86" w14:textId="77777777" w:rsidTr="00BE1F11">
        <w:trPr>
          <w:trHeight w:val="20"/>
        </w:trPr>
        <w:tc>
          <w:tcPr>
            <w:tcW w:w="3426" w:type="pct"/>
            <w:vAlign w:val="bottom"/>
          </w:tcPr>
          <w:p w14:paraId="22DF98DD" w14:textId="3812E2D3" w:rsidR="00AA1F63" w:rsidRPr="005E3661" w:rsidRDefault="00AA1F63" w:rsidP="00AA1F63">
            <w:pPr>
              <w:ind w:left="179" w:hanging="179"/>
              <w:jc w:val="left"/>
            </w:pPr>
            <w:r>
              <w:t>Net loss from continuing operations</w:t>
            </w:r>
          </w:p>
        </w:tc>
        <w:tc>
          <w:tcPr>
            <w:tcW w:w="787" w:type="pct"/>
            <w:vAlign w:val="center"/>
          </w:tcPr>
          <w:p w14:paraId="76F82D20" w14:textId="3A9D52D9" w:rsidR="00AA1F63" w:rsidRPr="00787AD1" w:rsidRDefault="00AA1F63" w:rsidP="00AA1F63">
            <w:pPr>
              <w:jc w:val="right"/>
              <w:rPr>
                <w:highlight w:val="yellow"/>
              </w:rPr>
            </w:pPr>
            <w:r>
              <w:rPr>
                <w:b/>
                <w:bCs/>
                <w:color w:val="000000"/>
              </w:rPr>
              <w:t>(2,298,925)</w:t>
            </w:r>
          </w:p>
        </w:tc>
        <w:tc>
          <w:tcPr>
            <w:tcW w:w="787" w:type="pct"/>
            <w:vAlign w:val="center"/>
          </w:tcPr>
          <w:p w14:paraId="29E81279" w14:textId="2C5F555C" w:rsidR="00AA1F63" w:rsidRPr="00EB34CF" w:rsidRDefault="00AA1F63" w:rsidP="00AA1F63">
            <w:pPr>
              <w:jc w:val="right"/>
            </w:pPr>
            <w:r>
              <w:rPr>
                <w:color w:val="000000"/>
              </w:rPr>
              <w:t>(24,928,263)</w:t>
            </w:r>
          </w:p>
        </w:tc>
      </w:tr>
      <w:tr w:rsidR="00AA1F63" w:rsidRPr="005E3661" w14:paraId="43CD63EE" w14:textId="77777777" w:rsidTr="00BE1F11">
        <w:trPr>
          <w:trHeight w:val="20"/>
        </w:trPr>
        <w:tc>
          <w:tcPr>
            <w:tcW w:w="3426" w:type="pct"/>
            <w:vAlign w:val="bottom"/>
          </w:tcPr>
          <w:p w14:paraId="351863DB" w14:textId="3A32D2E1" w:rsidR="00AA1F63" w:rsidRPr="005E3661" w:rsidRDefault="00AA1F63" w:rsidP="00AA1F63">
            <w:pPr>
              <w:jc w:val="left"/>
              <w:rPr>
                <w:rFonts w:eastAsia="SimSun"/>
                <w:lang w:eastAsia="zh-CN"/>
              </w:rPr>
            </w:pPr>
            <w:r>
              <w:t>Add (subtract):</w:t>
            </w:r>
          </w:p>
        </w:tc>
        <w:tc>
          <w:tcPr>
            <w:tcW w:w="787" w:type="pct"/>
            <w:vAlign w:val="center"/>
          </w:tcPr>
          <w:p w14:paraId="03BBA5D9" w14:textId="77777777" w:rsidR="00AA1F63" w:rsidRPr="00787AD1" w:rsidRDefault="00AA1F63" w:rsidP="00AA1F63">
            <w:pPr>
              <w:jc w:val="right"/>
            </w:pPr>
          </w:p>
        </w:tc>
        <w:tc>
          <w:tcPr>
            <w:tcW w:w="787" w:type="pct"/>
            <w:vAlign w:val="center"/>
          </w:tcPr>
          <w:p w14:paraId="50D62EC7" w14:textId="77777777" w:rsidR="00AA1F63" w:rsidRPr="00EB34CF" w:rsidRDefault="00AA1F63" w:rsidP="00AA1F63">
            <w:pPr>
              <w:jc w:val="right"/>
            </w:pPr>
          </w:p>
        </w:tc>
      </w:tr>
      <w:tr w:rsidR="00AA1F63" w:rsidRPr="005E3661" w14:paraId="41D14B50" w14:textId="77777777" w:rsidTr="00BE1F11">
        <w:trPr>
          <w:trHeight w:val="20"/>
        </w:trPr>
        <w:tc>
          <w:tcPr>
            <w:tcW w:w="3426" w:type="pct"/>
            <w:vAlign w:val="bottom"/>
          </w:tcPr>
          <w:p w14:paraId="397F80EC" w14:textId="4B44FA43" w:rsidR="00AA1F63" w:rsidRPr="005E3661" w:rsidRDefault="00AA1F63" w:rsidP="00AA1F63">
            <w:pPr>
              <w:rPr>
                <w:rFonts w:eastAsia="SimSun"/>
                <w:lang w:eastAsia="zh-CN"/>
              </w:rPr>
            </w:pPr>
            <w:r>
              <w:t>Depreciation and amortization expense</w:t>
            </w:r>
          </w:p>
        </w:tc>
        <w:tc>
          <w:tcPr>
            <w:tcW w:w="787" w:type="pct"/>
            <w:vAlign w:val="center"/>
          </w:tcPr>
          <w:p w14:paraId="6B81A0F1" w14:textId="7698A03E" w:rsidR="00AA1F63" w:rsidRPr="00787AD1" w:rsidRDefault="00AA1F63" w:rsidP="00AA1F63">
            <w:pPr>
              <w:jc w:val="right"/>
            </w:pPr>
            <w:r>
              <w:rPr>
                <w:b/>
                <w:bCs/>
                <w:color w:val="000000"/>
              </w:rPr>
              <w:t>53,645</w:t>
            </w:r>
          </w:p>
        </w:tc>
        <w:tc>
          <w:tcPr>
            <w:tcW w:w="787" w:type="pct"/>
            <w:vAlign w:val="center"/>
          </w:tcPr>
          <w:p w14:paraId="67083B21" w14:textId="24CBD32D" w:rsidR="00AA1F63" w:rsidRPr="00EB34CF" w:rsidRDefault="00AA1F63" w:rsidP="00AA1F63">
            <w:pPr>
              <w:jc w:val="right"/>
            </w:pPr>
            <w:r>
              <w:rPr>
                <w:color w:val="000000"/>
              </w:rPr>
              <w:t>120,670</w:t>
            </w:r>
          </w:p>
        </w:tc>
      </w:tr>
      <w:tr w:rsidR="00AA1F63" w:rsidRPr="005E3661" w14:paraId="65EB0A47" w14:textId="77777777" w:rsidTr="00BE1F11">
        <w:trPr>
          <w:trHeight w:val="20"/>
        </w:trPr>
        <w:tc>
          <w:tcPr>
            <w:tcW w:w="3426" w:type="pct"/>
            <w:vAlign w:val="bottom"/>
          </w:tcPr>
          <w:p w14:paraId="077E7449" w14:textId="3041BF06" w:rsidR="00AA1F63" w:rsidRDefault="00AA1F63" w:rsidP="00AA1F63">
            <w:pPr>
              <w:rPr>
                <w:rFonts w:eastAsia="SimSun"/>
                <w:lang w:eastAsia="zh-CN"/>
              </w:rPr>
            </w:pPr>
            <w:r>
              <w:t>Interest expense</w:t>
            </w:r>
          </w:p>
        </w:tc>
        <w:tc>
          <w:tcPr>
            <w:tcW w:w="787" w:type="pct"/>
            <w:vAlign w:val="center"/>
          </w:tcPr>
          <w:p w14:paraId="193FCB4B" w14:textId="453F596A" w:rsidR="00AA1F63" w:rsidRPr="00787AD1" w:rsidRDefault="00AA1F63" w:rsidP="00AA1F63">
            <w:pPr>
              <w:jc w:val="right"/>
            </w:pPr>
            <w:r>
              <w:rPr>
                <w:b/>
                <w:bCs/>
                <w:color w:val="000000"/>
              </w:rPr>
              <w:t>82,215</w:t>
            </w:r>
          </w:p>
        </w:tc>
        <w:tc>
          <w:tcPr>
            <w:tcW w:w="787" w:type="pct"/>
            <w:vAlign w:val="center"/>
          </w:tcPr>
          <w:p w14:paraId="3F66CD9E" w14:textId="27733DC8" w:rsidR="00AA1F63" w:rsidRPr="00EB34CF" w:rsidRDefault="00AA1F63" w:rsidP="00AA1F63">
            <w:pPr>
              <w:jc w:val="right"/>
            </w:pPr>
            <w:r>
              <w:rPr>
                <w:color w:val="000000"/>
              </w:rPr>
              <w:t>28,875</w:t>
            </w:r>
          </w:p>
        </w:tc>
      </w:tr>
      <w:tr w:rsidR="00AA1F63" w:rsidRPr="005E3661" w14:paraId="1FE03418" w14:textId="77777777" w:rsidTr="00BE1F11">
        <w:trPr>
          <w:trHeight w:val="20"/>
        </w:trPr>
        <w:tc>
          <w:tcPr>
            <w:tcW w:w="3426" w:type="pct"/>
            <w:tcBorders>
              <w:bottom w:val="single" w:sz="4" w:space="0" w:color="auto"/>
            </w:tcBorders>
            <w:vAlign w:val="bottom"/>
          </w:tcPr>
          <w:p w14:paraId="4DE94A72" w14:textId="654A051F" w:rsidR="00AA1F63" w:rsidRDefault="00AA1F63" w:rsidP="00AA1F63">
            <w:pPr>
              <w:rPr>
                <w:rFonts w:eastAsia="SimSun"/>
                <w:lang w:eastAsia="zh-CN"/>
              </w:rPr>
            </w:pPr>
            <w:r>
              <w:t>Accretion expense</w:t>
            </w:r>
          </w:p>
        </w:tc>
        <w:tc>
          <w:tcPr>
            <w:tcW w:w="787" w:type="pct"/>
            <w:tcBorders>
              <w:bottom w:val="single" w:sz="4" w:space="0" w:color="auto"/>
            </w:tcBorders>
            <w:vAlign w:val="center"/>
          </w:tcPr>
          <w:p w14:paraId="09D9E710" w14:textId="60E2BAC8" w:rsidR="00AA1F63" w:rsidRPr="00787AD1" w:rsidRDefault="00AA1F63" w:rsidP="00AA1F63">
            <w:pPr>
              <w:jc w:val="right"/>
            </w:pPr>
            <w:r>
              <w:rPr>
                <w:b/>
                <w:bCs/>
                <w:color w:val="000000"/>
              </w:rPr>
              <w:t>52,803</w:t>
            </w:r>
          </w:p>
        </w:tc>
        <w:tc>
          <w:tcPr>
            <w:tcW w:w="787" w:type="pct"/>
            <w:tcBorders>
              <w:bottom w:val="single" w:sz="4" w:space="0" w:color="auto"/>
            </w:tcBorders>
            <w:vAlign w:val="center"/>
          </w:tcPr>
          <w:p w14:paraId="0781F6A8" w14:textId="73A19537" w:rsidR="00AA1F63" w:rsidRPr="00EB34CF" w:rsidRDefault="00AA1F63" w:rsidP="00AA1F63">
            <w:pPr>
              <w:jc w:val="right"/>
            </w:pPr>
            <w:r>
              <w:rPr>
                <w:color w:val="000000"/>
              </w:rPr>
              <w:t>1,777</w:t>
            </w:r>
          </w:p>
        </w:tc>
      </w:tr>
      <w:tr w:rsidR="00AA1F63" w:rsidRPr="005E3661" w14:paraId="4E59B40A" w14:textId="77777777" w:rsidTr="00BE1F11">
        <w:trPr>
          <w:trHeight w:val="20"/>
        </w:trPr>
        <w:tc>
          <w:tcPr>
            <w:tcW w:w="3426" w:type="pct"/>
            <w:tcBorders>
              <w:top w:val="single" w:sz="4" w:space="0" w:color="auto"/>
              <w:bottom w:val="single" w:sz="4" w:space="0" w:color="auto"/>
            </w:tcBorders>
            <w:vAlign w:val="bottom"/>
          </w:tcPr>
          <w:p w14:paraId="2CEAD2B8" w14:textId="279FB626" w:rsidR="00AA1F63" w:rsidRDefault="00AA1F63" w:rsidP="00AA1F63">
            <w:pPr>
              <w:rPr>
                <w:rFonts w:eastAsia="SimSun"/>
                <w:lang w:eastAsia="zh-CN"/>
              </w:rPr>
            </w:pPr>
            <w:r>
              <w:t>EBITDA loss</w:t>
            </w:r>
          </w:p>
        </w:tc>
        <w:tc>
          <w:tcPr>
            <w:tcW w:w="787" w:type="pct"/>
            <w:tcBorders>
              <w:top w:val="single" w:sz="4" w:space="0" w:color="auto"/>
              <w:bottom w:val="single" w:sz="4" w:space="0" w:color="auto"/>
            </w:tcBorders>
            <w:vAlign w:val="center"/>
          </w:tcPr>
          <w:p w14:paraId="47A29544" w14:textId="2AA08F42" w:rsidR="00AA1F63" w:rsidRPr="00787AD1" w:rsidRDefault="00AA1F63" w:rsidP="00AA1F63">
            <w:pPr>
              <w:jc w:val="right"/>
            </w:pPr>
            <w:r>
              <w:rPr>
                <w:b/>
                <w:bCs/>
                <w:color w:val="000000"/>
              </w:rPr>
              <w:t>(2,110,262)</w:t>
            </w:r>
          </w:p>
        </w:tc>
        <w:tc>
          <w:tcPr>
            <w:tcW w:w="787" w:type="pct"/>
            <w:tcBorders>
              <w:top w:val="single" w:sz="4" w:space="0" w:color="auto"/>
              <w:bottom w:val="single" w:sz="4" w:space="0" w:color="auto"/>
            </w:tcBorders>
            <w:vAlign w:val="center"/>
          </w:tcPr>
          <w:p w14:paraId="434522ED" w14:textId="13A26A70" w:rsidR="00AA1F63" w:rsidRPr="00EB34CF" w:rsidRDefault="00AA1F63" w:rsidP="00AA1F63">
            <w:pPr>
              <w:jc w:val="right"/>
            </w:pPr>
            <w:r>
              <w:rPr>
                <w:color w:val="000000"/>
              </w:rPr>
              <w:t>(24,776,941)</w:t>
            </w:r>
          </w:p>
        </w:tc>
      </w:tr>
      <w:tr w:rsidR="00AA1F63" w:rsidRPr="005E3661" w14:paraId="6AF53679" w14:textId="77777777" w:rsidTr="00BE1F11">
        <w:trPr>
          <w:trHeight w:val="20"/>
        </w:trPr>
        <w:tc>
          <w:tcPr>
            <w:tcW w:w="3426" w:type="pct"/>
            <w:tcBorders>
              <w:top w:val="single" w:sz="4" w:space="0" w:color="auto"/>
            </w:tcBorders>
            <w:vAlign w:val="bottom"/>
          </w:tcPr>
          <w:p w14:paraId="0987F27B" w14:textId="72E0B26C" w:rsidR="00AA1F63" w:rsidRDefault="00AA1F63" w:rsidP="00AA1F63">
            <w:pPr>
              <w:rPr>
                <w:rFonts w:eastAsia="SimSun"/>
                <w:lang w:eastAsia="zh-CN"/>
              </w:rPr>
            </w:pPr>
            <w:r>
              <w:t>Share-based payments</w:t>
            </w:r>
          </w:p>
        </w:tc>
        <w:tc>
          <w:tcPr>
            <w:tcW w:w="787" w:type="pct"/>
            <w:tcBorders>
              <w:top w:val="single" w:sz="4" w:space="0" w:color="auto"/>
            </w:tcBorders>
            <w:vAlign w:val="center"/>
          </w:tcPr>
          <w:p w14:paraId="3F6E141A" w14:textId="2A7779E1" w:rsidR="00AA1F63" w:rsidRPr="00787AD1" w:rsidRDefault="00AA1F63" w:rsidP="00AA1F63">
            <w:pPr>
              <w:jc w:val="right"/>
            </w:pPr>
            <w:r>
              <w:rPr>
                <w:b/>
                <w:bCs/>
                <w:color w:val="000000"/>
              </w:rPr>
              <w:t>123,291</w:t>
            </w:r>
          </w:p>
        </w:tc>
        <w:tc>
          <w:tcPr>
            <w:tcW w:w="787" w:type="pct"/>
            <w:tcBorders>
              <w:top w:val="single" w:sz="4" w:space="0" w:color="auto"/>
            </w:tcBorders>
            <w:vAlign w:val="center"/>
          </w:tcPr>
          <w:p w14:paraId="7D0604DB" w14:textId="7D9106E7" w:rsidR="00AA1F63" w:rsidRPr="00EB34CF" w:rsidRDefault="00AA1F63" w:rsidP="00AA1F63">
            <w:pPr>
              <w:jc w:val="right"/>
            </w:pPr>
            <w:r>
              <w:rPr>
                <w:color w:val="000000"/>
              </w:rPr>
              <w:t>435,986</w:t>
            </w:r>
          </w:p>
        </w:tc>
      </w:tr>
      <w:tr w:rsidR="00AA1F63" w:rsidRPr="005E3661" w14:paraId="69B92545" w14:textId="77777777" w:rsidTr="00BE1F11">
        <w:trPr>
          <w:trHeight w:val="20"/>
        </w:trPr>
        <w:tc>
          <w:tcPr>
            <w:tcW w:w="3426" w:type="pct"/>
            <w:vAlign w:val="bottom"/>
          </w:tcPr>
          <w:p w14:paraId="4F0D67E4" w14:textId="3129D1CC" w:rsidR="00AA1F63" w:rsidRDefault="00AA1F63" w:rsidP="00AA1F63">
            <w:pPr>
              <w:rPr>
                <w:rFonts w:eastAsia="SimSun"/>
                <w:lang w:eastAsia="zh-CN"/>
              </w:rPr>
            </w:pPr>
            <w:r>
              <w:t>Loss (gain) on fair value change of warrant liability</w:t>
            </w:r>
          </w:p>
        </w:tc>
        <w:tc>
          <w:tcPr>
            <w:tcW w:w="787" w:type="pct"/>
            <w:vAlign w:val="center"/>
          </w:tcPr>
          <w:p w14:paraId="5057883E" w14:textId="25A04A90" w:rsidR="00AA1F63" w:rsidRPr="00787AD1" w:rsidRDefault="00AA1F63" w:rsidP="00AA1F63">
            <w:pPr>
              <w:jc w:val="right"/>
            </w:pPr>
            <w:r>
              <w:rPr>
                <w:b/>
                <w:bCs/>
                <w:color w:val="000000"/>
              </w:rPr>
              <w:t>(651,385)</w:t>
            </w:r>
          </w:p>
        </w:tc>
        <w:tc>
          <w:tcPr>
            <w:tcW w:w="787" w:type="pct"/>
            <w:vAlign w:val="center"/>
          </w:tcPr>
          <w:p w14:paraId="49129A60" w14:textId="7048033E" w:rsidR="00AA1F63" w:rsidRPr="00EB34CF" w:rsidRDefault="00AA1F63" w:rsidP="00AA1F63">
            <w:pPr>
              <w:jc w:val="right"/>
            </w:pPr>
            <w:r>
              <w:rPr>
                <w:color w:val="000000"/>
              </w:rPr>
              <w:t>23,793,165</w:t>
            </w:r>
          </w:p>
        </w:tc>
      </w:tr>
      <w:tr w:rsidR="00AA1F63" w:rsidRPr="005E3661" w14:paraId="0C301076" w14:textId="77777777" w:rsidTr="00BE1F11">
        <w:trPr>
          <w:trHeight w:val="20"/>
        </w:trPr>
        <w:tc>
          <w:tcPr>
            <w:tcW w:w="3426" w:type="pct"/>
            <w:vAlign w:val="bottom"/>
          </w:tcPr>
          <w:p w14:paraId="3290319A" w14:textId="767FC471" w:rsidR="00AA1F63" w:rsidRDefault="00AA1F63" w:rsidP="00AA1F63">
            <w:r>
              <w:t>Loss on fair value change of conversion feature</w:t>
            </w:r>
          </w:p>
        </w:tc>
        <w:tc>
          <w:tcPr>
            <w:tcW w:w="787" w:type="pct"/>
            <w:vAlign w:val="center"/>
          </w:tcPr>
          <w:p w14:paraId="60CBA2F5" w14:textId="75AC0735" w:rsidR="00AA1F63" w:rsidRPr="00787AD1" w:rsidRDefault="00AA1F63" w:rsidP="00AA1F63">
            <w:pPr>
              <w:jc w:val="right"/>
            </w:pPr>
            <w:r>
              <w:rPr>
                <w:b/>
                <w:bCs/>
                <w:color w:val="000000"/>
              </w:rPr>
              <w:t>679,003</w:t>
            </w:r>
          </w:p>
        </w:tc>
        <w:tc>
          <w:tcPr>
            <w:tcW w:w="787" w:type="pct"/>
            <w:vAlign w:val="center"/>
          </w:tcPr>
          <w:p w14:paraId="7F376BD0" w14:textId="784A6285" w:rsidR="00AA1F63" w:rsidRPr="00EB34CF" w:rsidRDefault="00AA1F63" w:rsidP="00AA1F63">
            <w:pPr>
              <w:jc w:val="right"/>
            </w:pPr>
            <w:r>
              <w:rPr>
                <w:color w:val="000000"/>
              </w:rPr>
              <w:t>-</w:t>
            </w:r>
          </w:p>
        </w:tc>
      </w:tr>
      <w:tr w:rsidR="00AA1F63" w:rsidRPr="005E3661" w14:paraId="13AFA878" w14:textId="77777777" w:rsidTr="00BE1F11">
        <w:trPr>
          <w:trHeight w:val="20"/>
        </w:trPr>
        <w:tc>
          <w:tcPr>
            <w:tcW w:w="3426" w:type="pct"/>
            <w:vAlign w:val="bottom"/>
          </w:tcPr>
          <w:p w14:paraId="29315404" w14:textId="2C623CA1" w:rsidR="00AA1F63" w:rsidRDefault="00AA1F63" w:rsidP="00AA1F63">
            <w:pPr>
              <w:rPr>
                <w:rFonts w:eastAsia="SimSun"/>
                <w:lang w:eastAsia="zh-CN"/>
              </w:rPr>
            </w:pPr>
            <w:r>
              <w:t>Impairment of property and equipment</w:t>
            </w:r>
          </w:p>
        </w:tc>
        <w:tc>
          <w:tcPr>
            <w:tcW w:w="787" w:type="pct"/>
            <w:vAlign w:val="center"/>
          </w:tcPr>
          <w:p w14:paraId="6470DCC4" w14:textId="5CC5888A" w:rsidR="00AA1F63" w:rsidRPr="00787AD1" w:rsidRDefault="00AA1F63" w:rsidP="00AA1F63">
            <w:pPr>
              <w:jc w:val="right"/>
            </w:pPr>
            <w:r>
              <w:rPr>
                <w:b/>
                <w:bCs/>
                <w:color w:val="000000"/>
              </w:rPr>
              <w:t>19,336</w:t>
            </w:r>
          </w:p>
        </w:tc>
        <w:tc>
          <w:tcPr>
            <w:tcW w:w="787" w:type="pct"/>
            <w:vAlign w:val="center"/>
          </w:tcPr>
          <w:p w14:paraId="58D237B3" w14:textId="3C7D8545" w:rsidR="00AA1F63" w:rsidRPr="00EB34CF" w:rsidRDefault="00AA1F63" w:rsidP="00AA1F63">
            <w:pPr>
              <w:jc w:val="right"/>
            </w:pPr>
            <w:r>
              <w:rPr>
                <w:color w:val="000000"/>
              </w:rPr>
              <w:t>-</w:t>
            </w:r>
          </w:p>
        </w:tc>
      </w:tr>
      <w:tr w:rsidR="00AA1F63" w:rsidRPr="005E3661" w14:paraId="6189B6F4" w14:textId="77777777" w:rsidTr="00BE1F11">
        <w:trPr>
          <w:trHeight w:val="20"/>
        </w:trPr>
        <w:tc>
          <w:tcPr>
            <w:tcW w:w="3426" w:type="pct"/>
            <w:vAlign w:val="bottom"/>
          </w:tcPr>
          <w:p w14:paraId="15430C3D" w14:textId="43B293FA" w:rsidR="00AA1F63" w:rsidRPr="005E3661" w:rsidRDefault="00AA1F63" w:rsidP="00AA1F63">
            <w:pPr>
              <w:rPr>
                <w:rFonts w:eastAsia="SimSun"/>
                <w:lang w:eastAsia="zh-CN"/>
              </w:rPr>
            </w:pPr>
            <w:r>
              <w:t>Financing expense</w:t>
            </w:r>
          </w:p>
        </w:tc>
        <w:tc>
          <w:tcPr>
            <w:tcW w:w="787" w:type="pct"/>
            <w:vAlign w:val="center"/>
          </w:tcPr>
          <w:p w14:paraId="48394146" w14:textId="320D7328" w:rsidR="00AA1F63" w:rsidRPr="00787AD1" w:rsidRDefault="00AA1F63" w:rsidP="00AA1F63">
            <w:pPr>
              <w:jc w:val="right"/>
            </w:pPr>
            <w:r>
              <w:rPr>
                <w:b/>
                <w:bCs/>
                <w:color w:val="000000"/>
              </w:rPr>
              <w:t>700,542</w:t>
            </w:r>
          </w:p>
        </w:tc>
        <w:tc>
          <w:tcPr>
            <w:tcW w:w="787" w:type="pct"/>
            <w:vAlign w:val="center"/>
          </w:tcPr>
          <w:p w14:paraId="5789EE59" w14:textId="1B7F9D51" w:rsidR="00AA1F63" w:rsidRPr="00EB34CF" w:rsidRDefault="00AA1F63" w:rsidP="00AA1F63">
            <w:pPr>
              <w:jc w:val="right"/>
            </w:pPr>
            <w:r>
              <w:rPr>
                <w:b/>
                <w:bCs/>
                <w:color w:val="000000"/>
              </w:rPr>
              <w:t>-</w:t>
            </w:r>
          </w:p>
        </w:tc>
      </w:tr>
      <w:tr w:rsidR="00AA1F63" w:rsidRPr="005E3661" w14:paraId="0B13259C" w14:textId="77777777" w:rsidTr="00BE1F11">
        <w:trPr>
          <w:trHeight w:val="20"/>
        </w:trPr>
        <w:tc>
          <w:tcPr>
            <w:tcW w:w="3426" w:type="pct"/>
            <w:tcBorders>
              <w:top w:val="single" w:sz="4" w:space="0" w:color="auto"/>
              <w:bottom w:val="single" w:sz="12" w:space="0" w:color="auto"/>
            </w:tcBorders>
            <w:vAlign w:val="bottom"/>
          </w:tcPr>
          <w:p w14:paraId="257C10AD" w14:textId="06C119A6" w:rsidR="00AA1F63" w:rsidRPr="005E3661" w:rsidRDefault="00AA1F63" w:rsidP="00AA1F63">
            <w:pPr>
              <w:jc w:val="left"/>
              <w:rPr>
                <w:rFonts w:eastAsia="SimSun"/>
                <w:lang w:eastAsia="zh-CN"/>
              </w:rPr>
            </w:pPr>
            <w:r>
              <w:t>Adjusted EBITDA loss</w:t>
            </w:r>
          </w:p>
        </w:tc>
        <w:tc>
          <w:tcPr>
            <w:tcW w:w="787" w:type="pct"/>
            <w:tcBorders>
              <w:top w:val="single" w:sz="4" w:space="0" w:color="auto"/>
              <w:bottom w:val="single" w:sz="12" w:space="0" w:color="auto"/>
            </w:tcBorders>
            <w:vAlign w:val="center"/>
          </w:tcPr>
          <w:p w14:paraId="2398756C" w14:textId="21EC03D5" w:rsidR="00AA1F63" w:rsidRPr="00787AD1" w:rsidRDefault="00AA1F63" w:rsidP="00AA1F63">
            <w:pPr>
              <w:jc w:val="right"/>
            </w:pPr>
            <w:r>
              <w:rPr>
                <w:b/>
                <w:bCs/>
                <w:color w:val="000000"/>
              </w:rPr>
              <w:t>(1,239,475)</w:t>
            </w:r>
          </w:p>
        </w:tc>
        <w:tc>
          <w:tcPr>
            <w:tcW w:w="787" w:type="pct"/>
            <w:tcBorders>
              <w:top w:val="single" w:sz="4" w:space="0" w:color="auto"/>
              <w:bottom w:val="single" w:sz="12" w:space="0" w:color="auto"/>
            </w:tcBorders>
            <w:vAlign w:val="center"/>
          </w:tcPr>
          <w:p w14:paraId="2ADD6908" w14:textId="2E0D3F02" w:rsidR="00AA1F63" w:rsidRPr="00D2297D" w:rsidRDefault="00AA1F63" w:rsidP="00AA1F63">
            <w:pPr>
              <w:jc w:val="right"/>
            </w:pPr>
            <w:r>
              <w:rPr>
                <w:color w:val="000000"/>
              </w:rPr>
              <w:t>(547,790)</w:t>
            </w:r>
          </w:p>
        </w:tc>
      </w:tr>
    </w:tbl>
    <w:p w14:paraId="7BD879A7" w14:textId="77777777" w:rsidR="00E111D3" w:rsidRPr="00E111D3" w:rsidRDefault="00E111D3" w:rsidP="00E111D3">
      <w:pPr>
        <w:spacing w:line="259" w:lineRule="auto"/>
        <w:rPr>
          <w:rFonts w:eastAsiaTheme="minorHAnsi"/>
        </w:rPr>
      </w:pPr>
    </w:p>
    <w:p w14:paraId="71065900" w14:textId="77777777" w:rsidR="00E111D3" w:rsidRPr="00E111D3" w:rsidRDefault="00E111D3" w:rsidP="00E111D3">
      <w:pPr>
        <w:spacing w:line="259" w:lineRule="auto"/>
        <w:rPr>
          <w:rFonts w:eastAsiaTheme="minorHAnsi"/>
        </w:rPr>
      </w:pPr>
    </w:p>
    <w:p w14:paraId="49C9BE60" w14:textId="3ABFF427" w:rsidR="009127D6" w:rsidRDefault="009127D6" w:rsidP="009127D6">
      <w:pPr>
        <w:pStyle w:val="Heading1"/>
      </w:pPr>
      <w:r>
        <w:t>Events After the Reporting Period</w:t>
      </w:r>
    </w:p>
    <w:p w14:paraId="5B994FE6" w14:textId="77777777" w:rsidR="009127D6" w:rsidRDefault="009127D6" w:rsidP="009127D6">
      <w:pPr>
        <w:rPr>
          <w:lang w:val="en-US"/>
        </w:rPr>
      </w:pPr>
    </w:p>
    <w:p w14:paraId="239B2165" w14:textId="0C363707" w:rsidR="009127D6" w:rsidRDefault="009127D6" w:rsidP="009127D6">
      <w:pPr>
        <w:spacing w:line="259" w:lineRule="auto"/>
        <w:rPr>
          <w:rFonts w:eastAsiaTheme="minorHAnsi"/>
        </w:rPr>
      </w:pPr>
      <w:r>
        <w:rPr>
          <w:rFonts w:eastAsiaTheme="minorHAnsi"/>
        </w:rPr>
        <w:t xml:space="preserve">The Company’s Financial Statements filed on SEDAR at </w:t>
      </w:r>
      <w:hyperlink r:id="rId17" w:history="1">
        <w:r w:rsidRPr="00A01DF8">
          <w:rPr>
            <w:rStyle w:val="Hyperlink"/>
            <w:rFonts w:eastAsiaTheme="minorHAnsi"/>
          </w:rPr>
          <w:t>www.SEDAR.com</w:t>
        </w:r>
      </w:hyperlink>
      <w:r>
        <w:rPr>
          <w:rFonts w:eastAsiaTheme="minorHAnsi"/>
        </w:rPr>
        <w:t xml:space="preserve"> contain a complete discussion of subsequent events affecting the Company.</w:t>
      </w:r>
    </w:p>
    <w:p w14:paraId="16E9AF8F" w14:textId="1E00B447" w:rsidR="009127D6" w:rsidRDefault="009127D6" w:rsidP="009127D6">
      <w:pPr>
        <w:spacing w:line="259" w:lineRule="auto"/>
        <w:rPr>
          <w:rFonts w:eastAsiaTheme="minorHAnsi"/>
        </w:rPr>
      </w:pPr>
    </w:p>
    <w:p w14:paraId="1C10CB88" w14:textId="77777777" w:rsidR="009127D6" w:rsidRDefault="009127D6" w:rsidP="009127D6">
      <w:pPr>
        <w:spacing w:line="259" w:lineRule="auto"/>
        <w:rPr>
          <w:lang w:val="en-US"/>
        </w:rPr>
      </w:pPr>
    </w:p>
    <w:p w14:paraId="06CA91FF" w14:textId="31DC703C" w:rsidR="00453FBE" w:rsidRPr="005E3661" w:rsidRDefault="00327130" w:rsidP="00327130">
      <w:pPr>
        <w:pStyle w:val="Heading1"/>
      </w:pPr>
      <w:r w:rsidRPr="005E3661">
        <w:t xml:space="preserve">Liquidity </w:t>
      </w:r>
      <w:r w:rsidR="005D3BD4">
        <w:t>a</w:t>
      </w:r>
      <w:r w:rsidRPr="005E3661">
        <w:t>nd Capital Resources</w:t>
      </w:r>
    </w:p>
    <w:p w14:paraId="7EB6D506" w14:textId="77777777" w:rsidR="00A353D2" w:rsidRPr="005E3661" w:rsidRDefault="00A353D2" w:rsidP="00327130"/>
    <w:p w14:paraId="31A89462" w14:textId="65FBF847" w:rsidR="00623605" w:rsidRPr="005E3661" w:rsidRDefault="00623605" w:rsidP="00327130">
      <w:pPr>
        <w:pStyle w:val="Heading3"/>
      </w:pPr>
      <w:r w:rsidRPr="005E3661">
        <w:t xml:space="preserve">Liquidity </w:t>
      </w:r>
      <w:r w:rsidR="00B8312E">
        <w:t>and going concern</w:t>
      </w:r>
    </w:p>
    <w:p w14:paraId="69A19362" w14:textId="77777777" w:rsidR="00623605" w:rsidRPr="005E3661" w:rsidRDefault="00623605" w:rsidP="00367555">
      <w:pPr>
        <w:pStyle w:val="NoSpacing"/>
      </w:pPr>
    </w:p>
    <w:p w14:paraId="70C0F29D" w14:textId="4C91EAEB" w:rsidR="004D5C6B" w:rsidRDefault="00DD41AB" w:rsidP="00B8542F">
      <w:r w:rsidRPr="005E3661">
        <w:t xml:space="preserve">Liquidity risk is the risk that the Company will encounter difficulties in meeting obligations associated with its financial liabilities and other contractual obligations. The Company’s strategy for managing liquidity is based on achieving positive cash flows from operations to internally fund operating and capital requirements. </w:t>
      </w:r>
    </w:p>
    <w:p w14:paraId="1354AF0D" w14:textId="77777777" w:rsidR="00DD41AB" w:rsidRPr="005E3661" w:rsidRDefault="00DD41AB" w:rsidP="00B8542F"/>
    <w:p w14:paraId="32CC518D" w14:textId="7996797F" w:rsidR="00DD41AB" w:rsidRPr="005E3661" w:rsidRDefault="00DD41AB" w:rsidP="00B8542F">
      <w:r w:rsidRPr="005E3661">
        <w:t xml:space="preserve">Factors that may affect the Company’s liquidity are continuously monitored. These factors include the number of patient visits, average patient spend per visit, </w:t>
      </w:r>
      <w:r w:rsidR="00A859BB" w:rsidRPr="005E3661">
        <w:t xml:space="preserve">number of COVID-19 tests performed, </w:t>
      </w:r>
      <w:r w:rsidRPr="005E3661">
        <w:t xml:space="preserve">operating costs, capital costs, income tax refunds, foreign currency fluctuations, seasonality, market immaturity and a highly fluid environment related to state and federal law passage and regulations. </w:t>
      </w:r>
    </w:p>
    <w:p w14:paraId="6361612B" w14:textId="77777777" w:rsidR="00DD41AB" w:rsidRPr="005E3661" w:rsidRDefault="00DD41AB" w:rsidP="00B8542F"/>
    <w:p w14:paraId="29D98B62" w14:textId="7D6788C2" w:rsidR="00DD41AB" w:rsidRPr="005E3661" w:rsidRDefault="00DD41AB" w:rsidP="00B8542F">
      <w:proofErr w:type="gramStart"/>
      <w:r w:rsidRPr="005E3661">
        <w:t>In the event that</w:t>
      </w:r>
      <w:proofErr w:type="gramEnd"/>
      <w:r w:rsidRPr="005E3661">
        <w:t xml:space="preserve"> the Company is adversely affected by any of these factors and, as a result, the operating cash flows are not sufficient to meet the Company’s working capital requirements there is no guarantee that the Company would be able to raise additional capital on acceptable terms to fund a potential cash shortfall. Consequently, the Company is subject to liquidity risk. </w:t>
      </w:r>
    </w:p>
    <w:p w14:paraId="3A50E711" w14:textId="77777777" w:rsidR="00791300" w:rsidRDefault="00791300" w:rsidP="00B8542F"/>
    <w:p w14:paraId="23C2CFF6" w14:textId="040730DB" w:rsidR="00B8312E" w:rsidRDefault="00B8312E" w:rsidP="00B8542F">
      <w:r w:rsidRPr="00E071FE">
        <w:t xml:space="preserve">As </w:t>
      </w:r>
      <w:proofErr w:type="gramStart"/>
      <w:r w:rsidRPr="00E071FE">
        <w:t>at</w:t>
      </w:r>
      <w:proofErr w:type="gramEnd"/>
      <w:r w:rsidRPr="00E071FE">
        <w:t xml:space="preserve"> </w:t>
      </w:r>
      <w:r w:rsidR="00D2297D">
        <w:t>March</w:t>
      </w:r>
      <w:r w:rsidR="00E72D9E">
        <w:t xml:space="preserve"> 31</w:t>
      </w:r>
      <w:r w:rsidRPr="00E071FE">
        <w:t>, 202</w:t>
      </w:r>
      <w:r w:rsidR="00D2297D">
        <w:t>2</w:t>
      </w:r>
      <w:r w:rsidRPr="00E071FE">
        <w:t>, the Company ha</w:t>
      </w:r>
      <w:r w:rsidR="006D768B">
        <w:t>d</w:t>
      </w:r>
      <w:r w:rsidRPr="00E071FE">
        <w:t xml:space="preserve"> an accumulated deficit of $</w:t>
      </w:r>
      <w:r w:rsidR="00F24933">
        <w:t>64,499,955</w:t>
      </w:r>
      <w:r w:rsidRPr="00E071FE">
        <w:t xml:space="preserve"> (December 31, 202</w:t>
      </w:r>
      <w:r w:rsidR="00C9016D">
        <w:t>1</w:t>
      </w:r>
      <w:r w:rsidRPr="00E071FE">
        <w:t xml:space="preserve"> - $</w:t>
      </w:r>
      <w:r w:rsidR="00C9016D" w:rsidRPr="00C9016D">
        <w:t>62,334,945</w:t>
      </w:r>
      <w:r w:rsidR="00D030D6">
        <w:t xml:space="preserve">). </w:t>
      </w:r>
      <w:r w:rsidRPr="00E071FE">
        <w:t>The Company’s operations are mainly funded with equity and debt financing, which is dependent upon many external factors, and thus funds may be difficult to raise when required. Management continues to evaluate the need for additional financing and is of the opinion that additional financing will be available</w:t>
      </w:r>
      <w:r w:rsidRPr="005E3661">
        <w:t xml:space="preserve"> to continue its planned activities in the normal course. Nonetheless, there is no assurance that the Company will be able to raise sufficient funds in the future to complete its planned activities. The foregoing indicates the existence of a material uncertainty that may cast substantial doubt as to whether the Company would continue as a going concern and realize its assets and settle its liabilities and commitments in the normal course of business.</w:t>
      </w:r>
    </w:p>
    <w:p w14:paraId="22E8A1D4" w14:textId="77777777" w:rsidR="006D768B" w:rsidRPr="005E3661" w:rsidRDefault="006D768B" w:rsidP="00B8542F"/>
    <w:p w14:paraId="2FD1A195" w14:textId="77777777" w:rsidR="00B8312E" w:rsidRPr="005E3661" w:rsidRDefault="00B8312E" w:rsidP="00B8542F">
      <w:r w:rsidRPr="005E3661">
        <w:t xml:space="preserve">The Company’s consolidated financial statements have been prepared </w:t>
      </w:r>
      <w:proofErr w:type="gramStart"/>
      <w:r w:rsidRPr="005E3661">
        <w:t>on the basis of</w:t>
      </w:r>
      <w:proofErr w:type="gramEnd"/>
      <w:r w:rsidRPr="005E3661">
        <w:t xml:space="preserve"> accounting principles applicable to a going concern, which assume the realization of assets and discharge of liabilities in the normal course of business. The consolidated financial statements do not give effect to any adjustments that would be necessary should the Company not be able to continue as a going concern. Such adjustments could be material. </w:t>
      </w:r>
    </w:p>
    <w:p w14:paraId="56E17E9A" w14:textId="77777777" w:rsidR="00B8312E" w:rsidRDefault="00B8312E" w:rsidP="00B8542F"/>
    <w:p w14:paraId="6780E83A" w14:textId="5A020279" w:rsidR="00791300" w:rsidRDefault="00DD41AB" w:rsidP="00262EFA">
      <w:r w:rsidRPr="005E3661">
        <w:lastRenderedPageBreak/>
        <w:t>The Company will need to procure additional financing in order to fund its ongoing operation. The Company intends to obtain such financing through equity financing, and there can be no assurance that the Company can raise the required capital it needs to build and expand as expected, nor that the capital markets will fund the business of the Company. Without this additional financing, the Company may be unable to achieve positive cash flow and earnings as quickly as anticipated, these uncertainties cast a significant doubt about the Company’s ability to continue as a going concern</w:t>
      </w:r>
      <w:r w:rsidR="00515543" w:rsidRPr="005E3661">
        <w:t>.</w:t>
      </w:r>
    </w:p>
    <w:p w14:paraId="1A25CB74" w14:textId="36FADF68" w:rsidR="00CF45CD" w:rsidRDefault="00CF45CD" w:rsidP="00262EFA"/>
    <w:p w14:paraId="6F3BB32E" w14:textId="54108589" w:rsidR="00CF45CD" w:rsidRPr="006D01D9" w:rsidRDefault="00CF45CD" w:rsidP="00CF45CD">
      <w:pPr>
        <w:autoSpaceDE w:val="0"/>
        <w:autoSpaceDN w:val="0"/>
        <w:adjustRightInd w:val="0"/>
        <w:rPr>
          <w:rFonts w:eastAsiaTheme="minorHAnsi"/>
        </w:rPr>
      </w:pPr>
      <w:r w:rsidRPr="00B1557B">
        <w:rPr>
          <w:rFonts w:eastAsiaTheme="minorHAnsi"/>
        </w:rPr>
        <w:t xml:space="preserve">As </w:t>
      </w:r>
      <w:proofErr w:type="gramStart"/>
      <w:r w:rsidRPr="00B1557B">
        <w:rPr>
          <w:rFonts w:eastAsiaTheme="minorHAnsi"/>
        </w:rPr>
        <w:t>at</w:t>
      </w:r>
      <w:proofErr w:type="gramEnd"/>
      <w:r w:rsidRPr="00B1557B">
        <w:rPr>
          <w:rFonts w:eastAsiaTheme="minorHAnsi"/>
        </w:rPr>
        <w:t xml:space="preserve"> </w:t>
      </w:r>
      <w:r w:rsidR="00130580">
        <w:rPr>
          <w:rFonts w:eastAsiaTheme="minorHAnsi"/>
        </w:rPr>
        <w:t>March</w:t>
      </w:r>
      <w:r w:rsidRPr="00B1557B">
        <w:rPr>
          <w:rFonts w:eastAsiaTheme="minorHAnsi"/>
        </w:rPr>
        <w:t xml:space="preserve"> 31, 202</w:t>
      </w:r>
      <w:r w:rsidR="00130580">
        <w:rPr>
          <w:rFonts w:eastAsiaTheme="minorHAnsi"/>
        </w:rPr>
        <w:t>2</w:t>
      </w:r>
      <w:r w:rsidRPr="00B1557B">
        <w:rPr>
          <w:rFonts w:eastAsiaTheme="minorHAnsi"/>
        </w:rPr>
        <w:t>, the Company had a cash balance of $</w:t>
      </w:r>
      <w:r w:rsidR="00856E8E" w:rsidRPr="00856E8E">
        <w:rPr>
          <w:rFonts w:eastAsiaTheme="minorHAnsi"/>
        </w:rPr>
        <w:t>2,518,743</w:t>
      </w:r>
      <w:r>
        <w:rPr>
          <w:rFonts w:eastAsiaTheme="minorHAnsi"/>
        </w:rPr>
        <w:t>, restricted cash of $</w:t>
      </w:r>
      <w:r w:rsidR="00856E8E">
        <w:rPr>
          <w:rFonts w:eastAsiaTheme="minorHAnsi"/>
        </w:rPr>
        <w:t>nil</w:t>
      </w:r>
      <w:r w:rsidR="00082AE8">
        <w:rPr>
          <w:rFonts w:eastAsiaTheme="minorHAnsi"/>
        </w:rPr>
        <w:t>,</w:t>
      </w:r>
      <w:r w:rsidRPr="00091485">
        <w:rPr>
          <w:rFonts w:eastAsiaTheme="minorHAnsi"/>
        </w:rPr>
        <w:t xml:space="preserve"> </w:t>
      </w:r>
      <w:r w:rsidRPr="00B1557B">
        <w:rPr>
          <w:rFonts w:eastAsiaTheme="minorHAnsi"/>
        </w:rPr>
        <w:t>and current liabilities of $</w:t>
      </w:r>
      <w:r w:rsidR="008921CF" w:rsidRPr="008921CF">
        <w:rPr>
          <w:rFonts w:eastAsiaTheme="minorHAnsi"/>
        </w:rPr>
        <w:t>9,</w:t>
      </w:r>
      <w:r w:rsidR="00F24933">
        <w:rPr>
          <w:rFonts w:eastAsiaTheme="minorHAnsi"/>
        </w:rPr>
        <w:t>222,401</w:t>
      </w:r>
      <w:r>
        <w:rPr>
          <w:rFonts w:eastAsiaTheme="minorHAnsi"/>
        </w:rPr>
        <w:t>.</w:t>
      </w:r>
      <w:r w:rsidR="00D030D6">
        <w:rPr>
          <w:rFonts w:eastAsiaTheme="minorHAnsi"/>
        </w:rPr>
        <w:t xml:space="preserve"> In comparison, as </w:t>
      </w:r>
      <w:proofErr w:type="gramStart"/>
      <w:r w:rsidR="00D030D6">
        <w:rPr>
          <w:rFonts w:eastAsiaTheme="minorHAnsi"/>
        </w:rPr>
        <w:t>at</w:t>
      </w:r>
      <w:proofErr w:type="gramEnd"/>
      <w:r w:rsidR="00D030D6">
        <w:rPr>
          <w:rFonts w:eastAsiaTheme="minorHAnsi"/>
        </w:rPr>
        <w:t xml:space="preserve"> December 31, 202</w:t>
      </w:r>
      <w:r w:rsidR="008921CF">
        <w:rPr>
          <w:rFonts w:eastAsiaTheme="minorHAnsi"/>
        </w:rPr>
        <w:t>1</w:t>
      </w:r>
      <w:r w:rsidR="00D030D6">
        <w:rPr>
          <w:rFonts w:eastAsiaTheme="minorHAnsi"/>
        </w:rPr>
        <w:t>, the Company had a cash balance of $</w:t>
      </w:r>
      <w:r w:rsidR="008921CF" w:rsidRPr="008921CF">
        <w:rPr>
          <w:rFonts w:eastAsiaTheme="minorHAnsi"/>
        </w:rPr>
        <w:t>866,170</w:t>
      </w:r>
      <w:r w:rsidR="00D030D6">
        <w:rPr>
          <w:rFonts w:eastAsiaTheme="minorHAnsi"/>
        </w:rPr>
        <w:t>, restricted cash of $</w:t>
      </w:r>
      <w:r w:rsidR="008921CF" w:rsidRPr="008921CF">
        <w:rPr>
          <w:rFonts w:eastAsiaTheme="minorHAnsi"/>
        </w:rPr>
        <w:t>1,238,366</w:t>
      </w:r>
      <w:r w:rsidR="00D030D6">
        <w:rPr>
          <w:rFonts w:eastAsiaTheme="minorHAnsi"/>
        </w:rPr>
        <w:t>, and current liabilities of $</w:t>
      </w:r>
      <w:r w:rsidR="00565AE0" w:rsidRPr="00565AE0">
        <w:rPr>
          <w:rFonts w:eastAsiaTheme="minorHAnsi"/>
        </w:rPr>
        <w:t>7,703,093</w:t>
      </w:r>
      <w:r w:rsidR="00D030D6">
        <w:rPr>
          <w:rFonts w:eastAsiaTheme="minorHAnsi"/>
        </w:rPr>
        <w:t>.</w:t>
      </w:r>
    </w:p>
    <w:p w14:paraId="0B58FDA4" w14:textId="77777777" w:rsidR="005C2EA1" w:rsidRDefault="005C2EA1" w:rsidP="00262EFA"/>
    <w:p w14:paraId="372FF113" w14:textId="36C2B82C" w:rsidR="0056212D" w:rsidRDefault="0056212D" w:rsidP="007A28F0">
      <w:pPr>
        <w:pStyle w:val="Heading3"/>
      </w:pPr>
      <w:r w:rsidRPr="005E3661">
        <w:t>Contractual obligations</w:t>
      </w:r>
    </w:p>
    <w:p w14:paraId="525D37E9" w14:textId="77777777" w:rsidR="007124DE" w:rsidRDefault="007124DE" w:rsidP="007124DE"/>
    <w:p w14:paraId="5D27508A" w14:textId="101938AA" w:rsidR="007124DE" w:rsidRDefault="007124DE" w:rsidP="007124DE">
      <w:r w:rsidRPr="007900CD">
        <w:t xml:space="preserve">A summary of undiscounted liabilities and future operating commitments </w:t>
      </w:r>
      <w:proofErr w:type="gramStart"/>
      <w:r w:rsidRPr="007900CD">
        <w:t>at</w:t>
      </w:r>
      <w:proofErr w:type="gramEnd"/>
      <w:r w:rsidRPr="007900CD">
        <w:t xml:space="preserve"> </w:t>
      </w:r>
      <w:r>
        <w:t>March</w:t>
      </w:r>
      <w:r w:rsidRPr="007900CD">
        <w:t xml:space="preserve"> 31, 202</w:t>
      </w:r>
      <w:r>
        <w:t>2</w:t>
      </w:r>
      <w:r w:rsidRPr="007900CD">
        <w:t xml:space="preserve"> are as follows:</w:t>
      </w:r>
    </w:p>
    <w:p w14:paraId="329F8B61" w14:textId="40FF47D0" w:rsidR="003C06B4" w:rsidRDefault="003C06B4" w:rsidP="007124DE"/>
    <w:tbl>
      <w:tblPr>
        <w:tblW w:w="5000" w:type="pct"/>
        <w:tblBorders>
          <w:bottom w:val="single" w:sz="12" w:space="0" w:color="auto"/>
        </w:tblBorders>
        <w:tblLook w:val="0000" w:firstRow="0" w:lastRow="0" w:firstColumn="0" w:lastColumn="0" w:noHBand="0" w:noVBand="0"/>
      </w:tblPr>
      <w:tblGrid>
        <w:gridCol w:w="3676"/>
        <w:gridCol w:w="1421"/>
        <w:gridCol w:w="1421"/>
        <w:gridCol w:w="1421"/>
        <w:gridCol w:w="1421"/>
      </w:tblGrid>
      <w:tr w:rsidR="00AA1F63" w:rsidRPr="008949D9" w14:paraId="69DF601E" w14:textId="77777777" w:rsidTr="005D3728">
        <w:tc>
          <w:tcPr>
            <w:tcW w:w="1964" w:type="pct"/>
            <w:tcBorders>
              <w:top w:val="single" w:sz="4" w:space="0" w:color="auto"/>
              <w:bottom w:val="single" w:sz="12" w:space="0" w:color="auto"/>
            </w:tcBorders>
            <w:shd w:val="clear" w:color="auto" w:fill="auto"/>
            <w:vAlign w:val="bottom"/>
          </w:tcPr>
          <w:p w14:paraId="6E9F80F3" w14:textId="77777777" w:rsidR="00AA1F63" w:rsidRPr="008949D9" w:rsidRDefault="00AA1F63" w:rsidP="005D3728">
            <w:pPr>
              <w:rPr>
                <w:b/>
                <w:bCs/>
              </w:rPr>
            </w:pPr>
          </w:p>
        </w:tc>
        <w:tc>
          <w:tcPr>
            <w:tcW w:w="759" w:type="pct"/>
            <w:tcBorders>
              <w:top w:val="single" w:sz="4" w:space="0" w:color="auto"/>
              <w:bottom w:val="single" w:sz="12" w:space="0" w:color="auto"/>
            </w:tcBorders>
            <w:shd w:val="clear" w:color="auto" w:fill="auto"/>
            <w:vAlign w:val="bottom"/>
          </w:tcPr>
          <w:p w14:paraId="7822D51F" w14:textId="77777777" w:rsidR="00AA1F63" w:rsidRPr="008949D9" w:rsidRDefault="00AA1F63" w:rsidP="005D3728">
            <w:pPr>
              <w:jc w:val="right"/>
              <w:rPr>
                <w:b/>
                <w:bCs/>
              </w:rPr>
            </w:pPr>
            <w:r w:rsidRPr="008949D9">
              <w:rPr>
                <w:b/>
                <w:bCs/>
              </w:rPr>
              <w:t>Total</w:t>
            </w:r>
          </w:p>
        </w:tc>
        <w:tc>
          <w:tcPr>
            <w:tcW w:w="759" w:type="pct"/>
            <w:tcBorders>
              <w:top w:val="single" w:sz="4" w:space="0" w:color="auto"/>
              <w:bottom w:val="single" w:sz="12" w:space="0" w:color="auto"/>
            </w:tcBorders>
            <w:shd w:val="clear" w:color="auto" w:fill="auto"/>
            <w:vAlign w:val="bottom"/>
          </w:tcPr>
          <w:p w14:paraId="6B57075C" w14:textId="77777777" w:rsidR="00AA1F63" w:rsidRPr="008949D9" w:rsidRDefault="00AA1F63" w:rsidP="005D3728">
            <w:pPr>
              <w:jc w:val="right"/>
              <w:rPr>
                <w:b/>
                <w:bCs/>
              </w:rPr>
            </w:pPr>
            <w:r w:rsidRPr="008949D9">
              <w:rPr>
                <w:b/>
                <w:bCs/>
              </w:rPr>
              <w:t>Within 1 year</w:t>
            </w:r>
          </w:p>
        </w:tc>
        <w:tc>
          <w:tcPr>
            <w:tcW w:w="759" w:type="pct"/>
            <w:tcBorders>
              <w:top w:val="single" w:sz="4" w:space="0" w:color="auto"/>
              <w:bottom w:val="single" w:sz="12" w:space="0" w:color="auto"/>
            </w:tcBorders>
            <w:shd w:val="clear" w:color="auto" w:fill="auto"/>
            <w:vAlign w:val="bottom"/>
          </w:tcPr>
          <w:p w14:paraId="04C2536E" w14:textId="77777777" w:rsidR="00AA1F63" w:rsidRPr="009D691B" w:rsidRDefault="00AA1F63" w:rsidP="005D3728">
            <w:pPr>
              <w:jc w:val="right"/>
              <w:rPr>
                <w:b/>
                <w:bCs/>
              </w:rPr>
            </w:pPr>
            <w:r w:rsidRPr="008949D9">
              <w:rPr>
                <w:b/>
                <w:bCs/>
              </w:rPr>
              <w:t>2 - 5 years</w:t>
            </w:r>
          </w:p>
        </w:tc>
        <w:tc>
          <w:tcPr>
            <w:tcW w:w="759" w:type="pct"/>
            <w:tcBorders>
              <w:top w:val="single" w:sz="4" w:space="0" w:color="auto"/>
              <w:bottom w:val="single" w:sz="12" w:space="0" w:color="auto"/>
            </w:tcBorders>
            <w:shd w:val="clear" w:color="auto" w:fill="auto"/>
          </w:tcPr>
          <w:p w14:paraId="2E0751F1" w14:textId="77777777" w:rsidR="00AA1F63" w:rsidRPr="00971A12" w:rsidRDefault="00AA1F63" w:rsidP="005D3728">
            <w:pPr>
              <w:jc w:val="right"/>
              <w:rPr>
                <w:b/>
                <w:bCs/>
              </w:rPr>
            </w:pPr>
            <w:r w:rsidRPr="008949D9">
              <w:rPr>
                <w:b/>
                <w:bCs/>
              </w:rPr>
              <w:t>Greater than 5 years</w:t>
            </w:r>
          </w:p>
        </w:tc>
      </w:tr>
      <w:tr w:rsidR="00AA1F63" w:rsidRPr="008949D9" w14:paraId="748A4D34" w14:textId="77777777" w:rsidTr="005D3728">
        <w:tc>
          <w:tcPr>
            <w:tcW w:w="1964" w:type="pct"/>
            <w:tcBorders>
              <w:top w:val="single" w:sz="12" w:space="0" w:color="auto"/>
              <w:bottom w:val="nil"/>
            </w:tcBorders>
            <w:shd w:val="clear" w:color="auto" w:fill="auto"/>
            <w:vAlign w:val="bottom"/>
          </w:tcPr>
          <w:p w14:paraId="3977495F" w14:textId="77777777" w:rsidR="00AA1F63" w:rsidRPr="008949D9" w:rsidRDefault="00AA1F63" w:rsidP="005D3728">
            <w:pPr>
              <w:rPr>
                <w:b/>
                <w:bCs/>
              </w:rPr>
            </w:pPr>
          </w:p>
        </w:tc>
        <w:tc>
          <w:tcPr>
            <w:tcW w:w="759" w:type="pct"/>
            <w:tcBorders>
              <w:top w:val="single" w:sz="12" w:space="0" w:color="auto"/>
              <w:bottom w:val="nil"/>
            </w:tcBorders>
            <w:shd w:val="clear" w:color="auto" w:fill="auto"/>
            <w:vAlign w:val="bottom"/>
          </w:tcPr>
          <w:p w14:paraId="30469F9F" w14:textId="77777777" w:rsidR="00AA1F63" w:rsidRPr="008949D9" w:rsidRDefault="00AA1F63" w:rsidP="005D3728">
            <w:pPr>
              <w:jc w:val="right"/>
              <w:rPr>
                <w:b/>
                <w:bCs/>
              </w:rPr>
            </w:pPr>
          </w:p>
        </w:tc>
        <w:tc>
          <w:tcPr>
            <w:tcW w:w="759" w:type="pct"/>
            <w:tcBorders>
              <w:top w:val="single" w:sz="12" w:space="0" w:color="auto"/>
              <w:bottom w:val="nil"/>
            </w:tcBorders>
            <w:shd w:val="clear" w:color="auto" w:fill="auto"/>
            <w:vAlign w:val="bottom"/>
          </w:tcPr>
          <w:p w14:paraId="206675FF" w14:textId="77777777" w:rsidR="00AA1F63" w:rsidRPr="008949D9" w:rsidRDefault="00AA1F63" w:rsidP="005D3728">
            <w:pPr>
              <w:jc w:val="right"/>
              <w:rPr>
                <w:b/>
                <w:bCs/>
              </w:rPr>
            </w:pPr>
            <w:r w:rsidRPr="008949D9">
              <w:rPr>
                <w:b/>
                <w:bCs/>
              </w:rPr>
              <w:t>$</w:t>
            </w:r>
          </w:p>
        </w:tc>
        <w:tc>
          <w:tcPr>
            <w:tcW w:w="759" w:type="pct"/>
            <w:tcBorders>
              <w:top w:val="single" w:sz="12" w:space="0" w:color="auto"/>
              <w:bottom w:val="nil"/>
            </w:tcBorders>
            <w:shd w:val="clear" w:color="auto" w:fill="auto"/>
            <w:vAlign w:val="bottom"/>
          </w:tcPr>
          <w:p w14:paraId="15C98C4F" w14:textId="77777777" w:rsidR="00AA1F63" w:rsidRPr="003C06B4" w:rsidRDefault="00AA1F63" w:rsidP="005D3728">
            <w:pPr>
              <w:jc w:val="right"/>
              <w:rPr>
                <w:b/>
                <w:bCs/>
                <w:highlight w:val="yellow"/>
              </w:rPr>
            </w:pPr>
            <w:r w:rsidRPr="008949D9">
              <w:rPr>
                <w:b/>
                <w:bCs/>
              </w:rPr>
              <w:t>$</w:t>
            </w:r>
          </w:p>
        </w:tc>
        <w:tc>
          <w:tcPr>
            <w:tcW w:w="759" w:type="pct"/>
            <w:tcBorders>
              <w:top w:val="single" w:sz="12" w:space="0" w:color="auto"/>
              <w:bottom w:val="nil"/>
            </w:tcBorders>
            <w:shd w:val="clear" w:color="auto" w:fill="auto"/>
          </w:tcPr>
          <w:p w14:paraId="70186FEA" w14:textId="77777777" w:rsidR="00AA1F63" w:rsidRPr="00971A12" w:rsidRDefault="00AA1F63" w:rsidP="005D3728">
            <w:pPr>
              <w:jc w:val="right"/>
              <w:rPr>
                <w:b/>
                <w:bCs/>
              </w:rPr>
            </w:pPr>
            <w:r w:rsidRPr="00971A12">
              <w:rPr>
                <w:b/>
                <w:bCs/>
              </w:rPr>
              <w:t>$</w:t>
            </w:r>
          </w:p>
        </w:tc>
      </w:tr>
      <w:tr w:rsidR="00AA1F63" w:rsidRPr="008949D9" w14:paraId="06DB69AD" w14:textId="77777777" w:rsidTr="005D3728">
        <w:tblPrEx>
          <w:tblBorders>
            <w:bottom w:val="none" w:sz="0" w:space="0" w:color="auto"/>
          </w:tblBorders>
        </w:tblPrEx>
        <w:tc>
          <w:tcPr>
            <w:tcW w:w="1964" w:type="pct"/>
            <w:shd w:val="clear" w:color="auto" w:fill="auto"/>
            <w:vAlign w:val="bottom"/>
          </w:tcPr>
          <w:p w14:paraId="78C0C4FD" w14:textId="77777777" w:rsidR="00AA1F63" w:rsidRPr="008949D9" w:rsidRDefault="00AA1F63" w:rsidP="005D3728">
            <w:pPr>
              <w:ind w:left="177" w:hanging="177"/>
              <w:rPr>
                <w:b/>
              </w:rPr>
            </w:pPr>
            <w:r w:rsidRPr="008949D9">
              <w:rPr>
                <w:b/>
              </w:rPr>
              <w:t>Maturity analysis of financial liabilities</w:t>
            </w:r>
          </w:p>
        </w:tc>
        <w:tc>
          <w:tcPr>
            <w:tcW w:w="759" w:type="pct"/>
            <w:shd w:val="clear" w:color="auto" w:fill="auto"/>
            <w:vAlign w:val="bottom"/>
          </w:tcPr>
          <w:p w14:paraId="16521CEB" w14:textId="77777777" w:rsidR="00AA1F63" w:rsidRPr="008949D9" w:rsidRDefault="00AA1F63" w:rsidP="005D3728">
            <w:pPr>
              <w:jc w:val="right"/>
              <w:rPr>
                <w:b/>
              </w:rPr>
            </w:pPr>
          </w:p>
        </w:tc>
        <w:tc>
          <w:tcPr>
            <w:tcW w:w="759" w:type="pct"/>
            <w:shd w:val="clear" w:color="auto" w:fill="auto"/>
            <w:vAlign w:val="bottom"/>
          </w:tcPr>
          <w:p w14:paraId="672C1259" w14:textId="77777777" w:rsidR="00AA1F63" w:rsidRPr="008949D9" w:rsidRDefault="00AA1F63" w:rsidP="005D3728">
            <w:pPr>
              <w:jc w:val="right"/>
              <w:rPr>
                <w:color w:val="000000"/>
              </w:rPr>
            </w:pPr>
          </w:p>
        </w:tc>
        <w:tc>
          <w:tcPr>
            <w:tcW w:w="759" w:type="pct"/>
            <w:shd w:val="clear" w:color="auto" w:fill="auto"/>
            <w:vAlign w:val="bottom"/>
          </w:tcPr>
          <w:p w14:paraId="20C8DC44" w14:textId="77777777" w:rsidR="00AA1F63" w:rsidRPr="003C06B4" w:rsidRDefault="00AA1F63" w:rsidP="005D3728">
            <w:pPr>
              <w:ind w:right="-57"/>
              <w:jc w:val="right"/>
              <w:rPr>
                <w:color w:val="000000"/>
                <w:highlight w:val="yellow"/>
              </w:rPr>
            </w:pPr>
          </w:p>
        </w:tc>
        <w:tc>
          <w:tcPr>
            <w:tcW w:w="759" w:type="pct"/>
            <w:shd w:val="clear" w:color="auto" w:fill="auto"/>
            <w:vAlign w:val="bottom"/>
          </w:tcPr>
          <w:p w14:paraId="54B6E0D0" w14:textId="77777777" w:rsidR="00AA1F63" w:rsidRPr="00971A12" w:rsidRDefault="00AA1F63" w:rsidP="005D3728">
            <w:pPr>
              <w:ind w:right="-55"/>
              <w:jc w:val="right"/>
              <w:rPr>
                <w:color w:val="000000"/>
              </w:rPr>
            </w:pPr>
          </w:p>
        </w:tc>
      </w:tr>
      <w:tr w:rsidR="00AA1F63" w:rsidRPr="008949D9" w14:paraId="43C5681C" w14:textId="77777777" w:rsidTr="005D3728">
        <w:tc>
          <w:tcPr>
            <w:tcW w:w="1964" w:type="pct"/>
            <w:shd w:val="clear" w:color="auto" w:fill="auto"/>
            <w:vAlign w:val="center"/>
          </w:tcPr>
          <w:p w14:paraId="2A71CAB8" w14:textId="77777777" w:rsidR="00AA1F63" w:rsidRPr="008949D9" w:rsidRDefault="00AA1F63" w:rsidP="005D3728">
            <w:pPr>
              <w:ind w:left="177" w:hanging="177"/>
            </w:pPr>
            <w:r w:rsidRPr="008949D9">
              <w:rPr>
                <w:color w:val="000000"/>
              </w:rPr>
              <w:t>Accounts payables and accrued liabilities</w:t>
            </w:r>
          </w:p>
        </w:tc>
        <w:tc>
          <w:tcPr>
            <w:tcW w:w="759" w:type="pct"/>
            <w:shd w:val="clear" w:color="auto" w:fill="auto"/>
            <w:vAlign w:val="center"/>
          </w:tcPr>
          <w:p w14:paraId="6A7AC983" w14:textId="77777777" w:rsidR="00AA1F63" w:rsidRPr="009544F0" w:rsidRDefault="00AA1F63" w:rsidP="005D3728">
            <w:pPr>
              <w:jc w:val="right"/>
              <w:rPr>
                <w:highlight w:val="yellow"/>
              </w:rPr>
            </w:pPr>
            <w:r>
              <w:rPr>
                <w:b/>
                <w:bCs/>
                <w:color w:val="000000"/>
              </w:rPr>
              <w:t xml:space="preserve"> 3,685,086 </w:t>
            </w:r>
          </w:p>
        </w:tc>
        <w:tc>
          <w:tcPr>
            <w:tcW w:w="759" w:type="pct"/>
            <w:shd w:val="clear" w:color="auto" w:fill="auto"/>
            <w:vAlign w:val="center"/>
          </w:tcPr>
          <w:p w14:paraId="03918A2C" w14:textId="77777777" w:rsidR="00AA1F63" w:rsidRPr="00E05730" w:rsidRDefault="00AA1F63" w:rsidP="005D3728">
            <w:pPr>
              <w:jc w:val="right"/>
              <w:rPr>
                <w:color w:val="000000"/>
              </w:rPr>
            </w:pPr>
            <w:r>
              <w:rPr>
                <w:color w:val="000000"/>
              </w:rPr>
              <w:t xml:space="preserve">3,685,086 </w:t>
            </w:r>
          </w:p>
        </w:tc>
        <w:tc>
          <w:tcPr>
            <w:tcW w:w="759" w:type="pct"/>
            <w:shd w:val="clear" w:color="auto" w:fill="auto"/>
            <w:vAlign w:val="center"/>
          </w:tcPr>
          <w:p w14:paraId="016E7CD3" w14:textId="77777777" w:rsidR="00AA1F63" w:rsidRPr="00E05730" w:rsidRDefault="00AA1F63" w:rsidP="005D3728">
            <w:pPr>
              <w:jc w:val="right"/>
              <w:rPr>
                <w:color w:val="000000"/>
              </w:rPr>
            </w:pPr>
            <w:r>
              <w:rPr>
                <w:color w:val="000000"/>
              </w:rPr>
              <w:t xml:space="preserve"> - </w:t>
            </w:r>
          </w:p>
        </w:tc>
        <w:tc>
          <w:tcPr>
            <w:tcW w:w="759" w:type="pct"/>
            <w:shd w:val="clear" w:color="auto" w:fill="auto"/>
            <w:vAlign w:val="center"/>
          </w:tcPr>
          <w:p w14:paraId="06B75F08" w14:textId="77777777" w:rsidR="00AA1F63" w:rsidRPr="00E05730" w:rsidRDefault="00AA1F63" w:rsidP="005D3728">
            <w:pPr>
              <w:jc w:val="right"/>
              <w:rPr>
                <w:color w:val="000000"/>
              </w:rPr>
            </w:pPr>
            <w:r>
              <w:rPr>
                <w:color w:val="000000"/>
              </w:rPr>
              <w:t xml:space="preserve"> - </w:t>
            </w:r>
          </w:p>
        </w:tc>
      </w:tr>
      <w:tr w:rsidR="00AA1F63" w:rsidRPr="008949D9" w14:paraId="47E4BA17" w14:textId="77777777" w:rsidTr="005D3728">
        <w:tc>
          <w:tcPr>
            <w:tcW w:w="1964" w:type="pct"/>
            <w:shd w:val="clear" w:color="auto" w:fill="auto"/>
            <w:vAlign w:val="center"/>
          </w:tcPr>
          <w:p w14:paraId="0737D3FA" w14:textId="77777777" w:rsidR="00AA1F63" w:rsidRPr="008949D9" w:rsidRDefault="00AA1F63" w:rsidP="00AA1F63">
            <w:pPr>
              <w:ind w:left="177" w:hanging="177"/>
              <w:rPr>
                <w:color w:val="000000"/>
              </w:rPr>
            </w:pPr>
            <w:r>
              <w:rPr>
                <w:color w:val="000000"/>
              </w:rPr>
              <w:t xml:space="preserve">Consideration </w:t>
            </w:r>
            <w:proofErr w:type="gramStart"/>
            <w:r>
              <w:rPr>
                <w:color w:val="000000"/>
              </w:rPr>
              <w:t>payable</w:t>
            </w:r>
            <w:r w:rsidRPr="003C06B4">
              <w:rPr>
                <w:color w:val="000000"/>
                <w:vertAlign w:val="superscript"/>
              </w:rPr>
              <w:t>(</w:t>
            </w:r>
            <w:proofErr w:type="gramEnd"/>
            <w:r w:rsidRPr="003C06B4">
              <w:rPr>
                <w:color w:val="000000"/>
                <w:vertAlign w:val="superscript"/>
              </w:rPr>
              <w:t>1)</w:t>
            </w:r>
          </w:p>
        </w:tc>
        <w:tc>
          <w:tcPr>
            <w:tcW w:w="759" w:type="pct"/>
            <w:shd w:val="clear" w:color="auto" w:fill="auto"/>
            <w:vAlign w:val="center"/>
          </w:tcPr>
          <w:p w14:paraId="03CBD8DE" w14:textId="77777777" w:rsidR="00AA1F63" w:rsidRDefault="00AA1F63" w:rsidP="00AA1F63">
            <w:pPr>
              <w:jc w:val="right"/>
              <w:rPr>
                <w:b/>
                <w:bCs/>
                <w:color w:val="000000"/>
              </w:rPr>
            </w:pPr>
            <w:r>
              <w:rPr>
                <w:b/>
                <w:bCs/>
                <w:color w:val="000000"/>
              </w:rPr>
              <w:t xml:space="preserve">200,363 </w:t>
            </w:r>
          </w:p>
        </w:tc>
        <w:tc>
          <w:tcPr>
            <w:tcW w:w="759" w:type="pct"/>
            <w:shd w:val="clear" w:color="auto" w:fill="auto"/>
            <w:vAlign w:val="center"/>
          </w:tcPr>
          <w:p w14:paraId="3E4B7538" w14:textId="77777777" w:rsidR="00AA1F63" w:rsidRPr="00E05730" w:rsidRDefault="00AA1F63" w:rsidP="00AA1F63">
            <w:pPr>
              <w:jc w:val="right"/>
              <w:rPr>
                <w:color w:val="000000"/>
              </w:rPr>
            </w:pPr>
            <w:r>
              <w:rPr>
                <w:color w:val="000000"/>
              </w:rPr>
              <w:t xml:space="preserve"> 200,363 </w:t>
            </w:r>
          </w:p>
        </w:tc>
        <w:tc>
          <w:tcPr>
            <w:tcW w:w="759" w:type="pct"/>
            <w:shd w:val="clear" w:color="auto" w:fill="auto"/>
            <w:vAlign w:val="center"/>
          </w:tcPr>
          <w:p w14:paraId="6FDCC480" w14:textId="142E8ABC" w:rsidR="00AA1F63" w:rsidRPr="00E05730" w:rsidRDefault="00AA1F63" w:rsidP="00AA1F63">
            <w:pPr>
              <w:jc w:val="right"/>
              <w:rPr>
                <w:color w:val="000000"/>
              </w:rPr>
            </w:pPr>
            <w:r>
              <w:rPr>
                <w:color w:val="000000"/>
              </w:rPr>
              <w:t xml:space="preserve"> - </w:t>
            </w:r>
          </w:p>
        </w:tc>
        <w:tc>
          <w:tcPr>
            <w:tcW w:w="759" w:type="pct"/>
            <w:shd w:val="clear" w:color="auto" w:fill="auto"/>
            <w:vAlign w:val="center"/>
          </w:tcPr>
          <w:p w14:paraId="036B5691" w14:textId="588D0106" w:rsidR="00AA1F63" w:rsidRPr="00E05730" w:rsidRDefault="00AA1F63" w:rsidP="00AA1F63">
            <w:pPr>
              <w:jc w:val="right"/>
              <w:rPr>
                <w:color w:val="000000"/>
              </w:rPr>
            </w:pPr>
            <w:r>
              <w:rPr>
                <w:color w:val="000000"/>
              </w:rPr>
              <w:t xml:space="preserve"> - </w:t>
            </w:r>
          </w:p>
        </w:tc>
      </w:tr>
      <w:tr w:rsidR="00AA1F63" w:rsidRPr="008949D9" w14:paraId="4AEB0F91" w14:textId="77777777" w:rsidTr="005D3728">
        <w:tc>
          <w:tcPr>
            <w:tcW w:w="1964" w:type="pct"/>
            <w:shd w:val="clear" w:color="auto" w:fill="auto"/>
            <w:vAlign w:val="center"/>
          </w:tcPr>
          <w:p w14:paraId="2CC3CDC9" w14:textId="77777777" w:rsidR="00AA1F63" w:rsidRPr="008949D9" w:rsidRDefault="00AA1F63" w:rsidP="005D3728">
            <w:r w:rsidRPr="008949D9">
              <w:rPr>
                <w:color w:val="000000"/>
              </w:rPr>
              <w:t>Loans payable</w:t>
            </w:r>
          </w:p>
        </w:tc>
        <w:tc>
          <w:tcPr>
            <w:tcW w:w="759" w:type="pct"/>
            <w:shd w:val="clear" w:color="auto" w:fill="auto"/>
            <w:vAlign w:val="center"/>
          </w:tcPr>
          <w:p w14:paraId="6EBA7228" w14:textId="77777777" w:rsidR="00AA1F63" w:rsidRPr="009544F0" w:rsidRDefault="00AA1F63" w:rsidP="005D3728">
            <w:pPr>
              <w:jc w:val="right"/>
              <w:rPr>
                <w:highlight w:val="yellow"/>
              </w:rPr>
            </w:pPr>
            <w:r>
              <w:rPr>
                <w:b/>
                <w:bCs/>
                <w:color w:val="000000"/>
              </w:rPr>
              <w:t xml:space="preserve"> 1,522,243 </w:t>
            </w:r>
          </w:p>
        </w:tc>
        <w:tc>
          <w:tcPr>
            <w:tcW w:w="759" w:type="pct"/>
            <w:shd w:val="clear" w:color="auto" w:fill="auto"/>
            <w:vAlign w:val="center"/>
          </w:tcPr>
          <w:p w14:paraId="01BA5615" w14:textId="77777777" w:rsidR="00AA1F63" w:rsidRPr="00E05730" w:rsidRDefault="00AA1F63" w:rsidP="005D3728">
            <w:pPr>
              <w:jc w:val="right"/>
              <w:rPr>
                <w:color w:val="000000"/>
              </w:rPr>
            </w:pPr>
            <w:r>
              <w:rPr>
                <w:color w:val="000000"/>
              </w:rPr>
              <w:t xml:space="preserve"> 213,756 </w:t>
            </w:r>
          </w:p>
        </w:tc>
        <w:tc>
          <w:tcPr>
            <w:tcW w:w="759" w:type="pct"/>
            <w:shd w:val="clear" w:color="auto" w:fill="auto"/>
            <w:vAlign w:val="center"/>
          </w:tcPr>
          <w:p w14:paraId="64850652" w14:textId="77777777" w:rsidR="00AA1F63" w:rsidRPr="00E05730" w:rsidRDefault="00AA1F63" w:rsidP="005D3728">
            <w:pPr>
              <w:jc w:val="right"/>
              <w:rPr>
                <w:color w:val="000000"/>
              </w:rPr>
            </w:pPr>
            <w:r>
              <w:rPr>
                <w:color w:val="000000"/>
              </w:rPr>
              <w:t xml:space="preserve"> 841,105 </w:t>
            </w:r>
          </w:p>
        </w:tc>
        <w:tc>
          <w:tcPr>
            <w:tcW w:w="759" w:type="pct"/>
            <w:shd w:val="clear" w:color="auto" w:fill="auto"/>
            <w:vAlign w:val="center"/>
          </w:tcPr>
          <w:p w14:paraId="5E505573" w14:textId="77777777" w:rsidR="00AA1F63" w:rsidRPr="00E05730" w:rsidRDefault="00AA1F63" w:rsidP="005D3728">
            <w:pPr>
              <w:jc w:val="right"/>
              <w:rPr>
                <w:color w:val="000000"/>
              </w:rPr>
            </w:pPr>
            <w:r>
              <w:rPr>
                <w:color w:val="000000"/>
              </w:rPr>
              <w:t xml:space="preserve"> 467,382 </w:t>
            </w:r>
          </w:p>
        </w:tc>
      </w:tr>
      <w:tr w:rsidR="00AA1F63" w:rsidRPr="008949D9" w14:paraId="0739711D" w14:textId="77777777" w:rsidTr="005D3728">
        <w:tc>
          <w:tcPr>
            <w:tcW w:w="1964" w:type="pct"/>
            <w:shd w:val="clear" w:color="auto" w:fill="auto"/>
            <w:vAlign w:val="center"/>
          </w:tcPr>
          <w:p w14:paraId="36C11201" w14:textId="77777777" w:rsidR="00AA1F63" w:rsidRPr="008949D9" w:rsidRDefault="00AA1F63" w:rsidP="005D3728">
            <w:pPr>
              <w:rPr>
                <w:rFonts w:eastAsia="SimSun"/>
                <w:lang w:eastAsia="zh-CN"/>
              </w:rPr>
            </w:pPr>
            <w:r w:rsidRPr="008949D9">
              <w:rPr>
                <w:color w:val="000000"/>
              </w:rPr>
              <w:t>Notes payable</w:t>
            </w:r>
          </w:p>
        </w:tc>
        <w:tc>
          <w:tcPr>
            <w:tcW w:w="759" w:type="pct"/>
            <w:shd w:val="clear" w:color="auto" w:fill="auto"/>
            <w:vAlign w:val="center"/>
          </w:tcPr>
          <w:p w14:paraId="27DC9285" w14:textId="77777777" w:rsidR="00AA1F63" w:rsidRPr="009544F0" w:rsidRDefault="00AA1F63" w:rsidP="005D3728">
            <w:pPr>
              <w:jc w:val="right"/>
              <w:rPr>
                <w:highlight w:val="yellow"/>
              </w:rPr>
            </w:pPr>
            <w:r>
              <w:rPr>
                <w:b/>
                <w:bCs/>
                <w:color w:val="000000"/>
              </w:rPr>
              <w:t xml:space="preserve">175,683 </w:t>
            </w:r>
          </w:p>
        </w:tc>
        <w:tc>
          <w:tcPr>
            <w:tcW w:w="759" w:type="pct"/>
            <w:shd w:val="clear" w:color="auto" w:fill="auto"/>
            <w:vAlign w:val="center"/>
          </w:tcPr>
          <w:p w14:paraId="53EDD035" w14:textId="77777777" w:rsidR="00AA1F63" w:rsidRPr="00E05730" w:rsidRDefault="00AA1F63" w:rsidP="005D3728">
            <w:pPr>
              <w:jc w:val="right"/>
              <w:rPr>
                <w:color w:val="000000"/>
              </w:rPr>
            </w:pPr>
            <w:r>
              <w:rPr>
                <w:color w:val="000000"/>
              </w:rPr>
              <w:t xml:space="preserve"> 175,683 </w:t>
            </w:r>
          </w:p>
        </w:tc>
        <w:tc>
          <w:tcPr>
            <w:tcW w:w="759" w:type="pct"/>
            <w:shd w:val="clear" w:color="auto" w:fill="auto"/>
            <w:vAlign w:val="center"/>
          </w:tcPr>
          <w:p w14:paraId="65595D90" w14:textId="77777777" w:rsidR="00AA1F63" w:rsidRPr="00E05730" w:rsidRDefault="00AA1F63" w:rsidP="005D3728">
            <w:pPr>
              <w:jc w:val="right"/>
              <w:rPr>
                <w:color w:val="000000"/>
              </w:rPr>
            </w:pPr>
            <w:r>
              <w:rPr>
                <w:color w:val="000000"/>
              </w:rPr>
              <w:t xml:space="preserve"> - </w:t>
            </w:r>
          </w:p>
        </w:tc>
        <w:tc>
          <w:tcPr>
            <w:tcW w:w="759" w:type="pct"/>
            <w:shd w:val="clear" w:color="auto" w:fill="auto"/>
            <w:vAlign w:val="center"/>
          </w:tcPr>
          <w:p w14:paraId="30675520" w14:textId="77777777" w:rsidR="00AA1F63" w:rsidRPr="00E05730" w:rsidRDefault="00AA1F63" w:rsidP="005D3728">
            <w:pPr>
              <w:jc w:val="right"/>
              <w:rPr>
                <w:color w:val="000000"/>
              </w:rPr>
            </w:pPr>
            <w:r>
              <w:rPr>
                <w:color w:val="000000"/>
              </w:rPr>
              <w:t xml:space="preserve"> - </w:t>
            </w:r>
          </w:p>
        </w:tc>
      </w:tr>
      <w:tr w:rsidR="00AA1F63" w:rsidRPr="008949D9" w14:paraId="476AEDEC" w14:textId="77777777" w:rsidTr="005D3728">
        <w:tc>
          <w:tcPr>
            <w:tcW w:w="1964" w:type="pct"/>
            <w:shd w:val="clear" w:color="auto" w:fill="auto"/>
            <w:vAlign w:val="center"/>
          </w:tcPr>
          <w:p w14:paraId="41B519C3" w14:textId="77777777" w:rsidR="00AA1F63" w:rsidRPr="008949D9" w:rsidRDefault="00AA1F63" w:rsidP="005D3728">
            <w:pPr>
              <w:rPr>
                <w:rFonts w:eastAsia="SimSun"/>
                <w:lang w:eastAsia="zh-CN"/>
              </w:rPr>
            </w:pPr>
            <w:r w:rsidRPr="008949D9">
              <w:rPr>
                <w:color w:val="000000"/>
              </w:rPr>
              <w:t>Convertible notes payable</w:t>
            </w:r>
          </w:p>
        </w:tc>
        <w:tc>
          <w:tcPr>
            <w:tcW w:w="759" w:type="pct"/>
            <w:shd w:val="clear" w:color="auto" w:fill="auto"/>
            <w:vAlign w:val="center"/>
          </w:tcPr>
          <w:p w14:paraId="5BAA1878" w14:textId="77777777" w:rsidR="00AA1F63" w:rsidRPr="009544F0" w:rsidRDefault="00AA1F63" w:rsidP="005D3728">
            <w:pPr>
              <w:jc w:val="right"/>
              <w:rPr>
                <w:highlight w:val="yellow"/>
              </w:rPr>
            </w:pPr>
            <w:r>
              <w:rPr>
                <w:b/>
                <w:bCs/>
                <w:color w:val="000000"/>
              </w:rPr>
              <w:t xml:space="preserve"> 3,376,649 </w:t>
            </w:r>
          </w:p>
        </w:tc>
        <w:tc>
          <w:tcPr>
            <w:tcW w:w="759" w:type="pct"/>
            <w:shd w:val="clear" w:color="auto" w:fill="auto"/>
            <w:vAlign w:val="center"/>
          </w:tcPr>
          <w:p w14:paraId="27798A23" w14:textId="77777777" w:rsidR="00AA1F63" w:rsidRPr="00E05730" w:rsidRDefault="00AA1F63" w:rsidP="005D3728">
            <w:pPr>
              <w:jc w:val="right"/>
              <w:rPr>
                <w:color w:val="000000"/>
              </w:rPr>
            </w:pPr>
            <w:r>
              <w:rPr>
                <w:color w:val="000000"/>
              </w:rPr>
              <w:t xml:space="preserve"> 182,694 </w:t>
            </w:r>
          </w:p>
        </w:tc>
        <w:tc>
          <w:tcPr>
            <w:tcW w:w="759" w:type="pct"/>
            <w:shd w:val="clear" w:color="auto" w:fill="auto"/>
            <w:vAlign w:val="center"/>
          </w:tcPr>
          <w:p w14:paraId="7CB532AF" w14:textId="77777777" w:rsidR="00AA1F63" w:rsidRPr="00E05730" w:rsidRDefault="00AA1F63" w:rsidP="005D3728">
            <w:pPr>
              <w:jc w:val="right"/>
              <w:rPr>
                <w:color w:val="000000"/>
              </w:rPr>
            </w:pPr>
            <w:r>
              <w:rPr>
                <w:color w:val="000000"/>
              </w:rPr>
              <w:t xml:space="preserve">3,193,955 </w:t>
            </w:r>
          </w:p>
        </w:tc>
        <w:tc>
          <w:tcPr>
            <w:tcW w:w="759" w:type="pct"/>
            <w:shd w:val="clear" w:color="auto" w:fill="auto"/>
            <w:vAlign w:val="center"/>
          </w:tcPr>
          <w:p w14:paraId="4E6658D6" w14:textId="77777777" w:rsidR="00AA1F63" w:rsidRPr="00E05730" w:rsidRDefault="00AA1F63" w:rsidP="005D3728">
            <w:pPr>
              <w:jc w:val="right"/>
              <w:rPr>
                <w:color w:val="000000"/>
              </w:rPr>
            </w:pPr>
            <w:r>
              <w:rPr>
                <w:color w:val="000000"/>
              </w:rPr>
              <w:t xml:space="preserve"> - </w:t>
            </w:r>
          </w:p>
        </w:tc>
      </w:tr>
      <w:tr w:rsidR="00AA1F63" w:rsidRPr="008949D9" w14:paraId="4157A135" w14:textId="77777777" w:rsidTr="005D3728">
        <w:tc>
          <w:tcPr>
            <w:tcW w:w="1964" w:type="pct"/>
            <w:shd w:val="clear" w:color="auto" w:fill="auto"/>
            <w:vAlign w:val="center"/>
          </w:tcPr>
          <w:p w14:paraId="6C364AF4" w14:textId="77777777" w:rsidR="00AA1F63" w:rsidRPr="008949D9" w:rsidRDefault="00AA1F63" w:rsidP="005D3728">
            <w:pPr>
              <w:rPr>
                <w:rFonts w:eastAsia="SimSun"/>
                <w:lang w:eastAsia="zh-CN"/>
              </w:rPr>
            </w:pPr>
            <w:r w:rsidRPr="008949D9">
              <w:rPr>
                <w:color w:val="000000"/>
              </w:rPr>
              <w:t>Lease payments</w:t>
            </w:r>
          </w:p>
        </w:tc>
        <w:tc>
          <w:tcPr>
            <w:tcW w:w="759" w:type="pct"/>
            <w:shd w:val="clear" w:color="auto" w:fill="auto"/>
            <w:vAlign w:val="center"/>
          </w:tcPr>
          <w:p w14:paraId="79E652C5" w14:textId="77777777" w:rsidR="00AA1F63" w:rsidRPr="009544F0" w:rsidRDefault="00AA1F63" w:rsidP="005D3728">
            <w:pPr>
              <w:jc w:val="right"/>
              <w:rPr>
                <w:highlight w:val="yellow"/>
              </w:rPr>
            </w:pPr>
            <w:r>
              <w:rPr>
                <w:b/>
                <w:bCs/>
                <w:color w:val="000000"/>
              </w:rPr>
              <w:t xml:space="preserve"> 3,976,008 </w:t>
            </w:r>
          </w:p>
        </w:tc>
        <w:tc>
          <w:tcPr>
            <w:tcW w:w="759" w:type="pct"/>
            <w:shd w:val="clear" w:color="auto" w:fill="auto"/>
            <w:vAlign w:val="center"/>
          </w:tcPr>
          <w:p w14:paraId="14025192" w14:textId="77777777" w:rsidR="00AA1F63" w:rsidRPr="00E05730" w:rsidRDefault="00AA1F63" w:rsidP="005D3728">
            <w:pPr>
              <w:jc w:val="right"/>
              <w:rPr>
                <w:color w:val="000000"/>
              </w:rPr>
            </w:pPr>
            <w:r>
              <w:rPr>
                <w:color w:val="000000"/>
              </w:rPr>
              <w:t xml:space="preserve"> 763,647 </w:t>
            </w:r>
          </w:p>
        </w:tc>
        <w:tc>
          <w:tcPr>
            <w:tcW w:w="759" w:type="pct"/>
            <w:shd w:val="clear" w:color="auto" w:fill="auto"/>
            <w:vAlign w:val="center"/>
          </w:tcPr>
          <w:p w14:paraId="38000736" w14:textId="77777777" w:rsidR="00AA1F63" w:rsidRPr="00E05730" w:rsidRDefault="00AA1F63" w:rsidP="005D3728">
            <w:pPr>
              <w:jc w:val="right"/>
              <w:rPr>
                <w:color w:val="000000"/>
              </w:rPr>
            </w:pPr>
            <w:r>
              <w:rPr>
                <w:color w:val="000000"/>
              </w:rPr>
              <w:t xml:space="preserve">2,184,208 </w:t>
            </w:r>
          </w:p>
        </w:tc>
        <w:tc>
          <w:tcPr>
            <w:tcW w:w="759" w:type="pct"/>
            <w:shd w:val="clear" w:color="auto" w:fill="auto"/>
            <w:vAlign w:val="center"/>
          </w:tcPr>
          <w:p w14:paraId="74216CCB" w14:textId="77777777" w:rsidR="00AA1F63" w:rsidRPr="00E05730" w:rsidRDefault="00AA1F63" w:rsidP="005D3728">
            <w:pPr>
              <w:jc w:val="right"/>
              <w:rPr>
                <w:color w:val="000000"/>
              </w:rPr>
            </w:pPr>
            <w:r>
              <w:rPr>
                <w:color w:val="000000"/>
              </w:rPr>
              <w:t xml:space="preserve">1,028,153 </w:t>
            </w:r>
          </w:p>
        </w:tc>
      </w:tr>
      <w:tr w:rsidR="00AA1F63" w:rsidRPr="008949D9" w14:paraId="2E3193FC" w14:textId="77777777" w:rsidTr="005D3728">
        <w:tc>
          <w:tcPr>
            <w:tcW w:w="1964" w:type="pct"/>
            <w:tcBorders>
              <w:top w:val="single" w:sz="4" w:space="0" w:color="auto"/>
              <w:bottom w:val="single" w:sz="12" w:space="0" w:color="auto"/>
            </w:tcBorders>
            <w:shd w:val="clear" w:color="auto" w:fill="auto"/>
            <w:vAlign w:val="bottom"/>
          </w:tcPr>
          <w:p w14:paraId="59D032AA" w14:textId="77777777" w:rsidR="00AA1F63" w:rsidRPr="00F76308" w:rsidRDefault="00AA1F63" w:rsidP="005D3728">
            <w:pPr>
              <w:ind w:left="177" w:hanging="177"/>
              <w:rPr>
                <w:b/>
              </w:rPr>
            </w:pPr>
            <w:r w:rsidRPr="00F76308">
              <w:rPr>
                <w:b/>
              </w:rPr>
              <w:t xml:space="preserve">Total financial liabilities </w:t>
            </w:r>
          </w:p>
        </w:tc>
        <w:tc>
          <w:tcPr>
            <w:tcW w:w="759" w:type="pct"/>
            <w:tcBorders>
              <w:top w:val="single" w:sz="4" w:space="0" w:color="auto"/>
              <w:bottom w:val="single" w:sz="12" w:space="0" w:color="auto"/>
            </w:tcBorders>
            <w:shd w:val="clear" w:color="auto" w:fill="auto"/>
            <w:vAlign w:val="center"/>
          </w:tcPr>
          <w:p w14:paraId="23347761" w14:textId="77777777" w:rsidR="00AA1F63" w:rsidRPr="00153248" w:rsidRDefault="00AA1F63" w:rsidP="005D3728">
            <w:pPr>
              <w:jc w:val="right"/>
              <w:rPr>
                <w:b/>
                <w:bCs/>
                <w:highlight w:val="yellow"/>
              </w:rPr>
            </w:pPr>
            <w:r>
              <w:rPr>
                <w:b/>
                <w:bCs/>
                <w:color w:val="000000"/>
              </w:rPr>
              <w:t xml:space="preserve"> 12,936,032 </w:t>
            </w:r>
          </w:p>
        </w:tc>
        <w:tc>
          <w:tcPr>
            <w:tcW w:w="759" w:type="pct"/>
            <w:tcBorders>
              <w:top w:val="single" w:sz="4" w:space="0" w:color="auto"/>
              <w:bottom w:val="single" w:sz="12" w:space="0" w:color="auto"/>
            </w:tcBorders>
            <w:shd w:val="clear" w:color="auto" w:fill="auto"/>
            <w:vAlign w:val="center"/>
          </w:tcPr>
          <w:p w14:paraId="2ED492FD" w14:textId="77777777" w:rsidR="00AA1F63" w:rsidRPr="00E05730" w:rsidRDefault="00AA1F63" w:rsidP="005D3728">
            <w:pPr>
              <w:jc w:val="right"/>
              <w:rPr>
                <w:b/>
                <w:bCs/>
                <w:color w:val="000000"/>
              </w:rPr>
            </w:pPr>
            <w:r>
              <w:rPr>
                <w:b/>
                <w:bCs/>
                <w:color w:val="000000"/>
              </w:rPr>
              <w:t xml:space="preserve">5,221,229 </w:t>
            </w:r>
          </w:p>
        </w:tc>
        <w:tc>
          <w:tcPr>
            <w:tcW w:w="759" w:type="pct"/>
            <w:tcBorders>
              <w:top w:val="single" w:sz="4" w:space="0" w:color="auto"/>
              <w:bottom w:val="single" w:sz="12" w:space="0" w:color="auto"/>
            </w:tcBorders>
            <w:shd w:val="clear" w:color="auto" w:fill="auto"/>
            <w:vAlign w:val="center"/>
          </w:tcPr>
          <w:p w14:paraId="2C17CA14" w14:textId="77777777" w:rsidR="00AA1F63" w:rsidRPr="00E05730" w:rsidRDefault="00AA1F63" w:rsidP="005D3728">
            <w:pPr>
              <w:jc w:val="right"/>
              <w:rPr>
                <w:b/>
                <w:bCs/>
                <w:color w:val="000000"/>
              </w:rPr>
            </w:pPr>
            <w:r>
              <w:rPr>
                <w:b/>
                <w:bCs/>
                <w:color w:val="000000"/>
              </w:rPr>
              <w:t xml:space="preserve">6,219,268 </w:t>
            </w:r>
          </w:p>
        </w:tc>
        <w:tc>
          <w:tcPr>
            <w:tcW w:w="759" w:type="pct"/>
            <w:tcBorders>
              <w:top w:val="single" w:sz="4" w:space="0" w:color="auto"/>
              <w:bottom w:val="single" w:sz="12" w:space="0" w:color="auto"/>
            </w:tcBorders>
            <w:shd w:val="clear" w:color="auto" w:fill="auto"/>
            <w:vAlign w:val="center"/>
          </w:tcPr>
          <w:p w14:paraId="27B036C3" w14:textId="77777777" w:rsidR="00AA1F63" w:rsidRPr="00E05730" w:rsidRDefault="00AA1F63" w:rsidP="005D3728">
            <w:pPr>
              <w:jc w:val="right"/>
              <w:rPr>
                <w:b/>
                <w:bCs/>
                <w:color w:val="000000"/>
              </w:rPr>
            </w:pPr>
            <w:r>
              <w:rPr>
                <w:b/>
                <w:bCs/>
                <w:color w:val="000000"/>
              </w:rPr>
              <w:t xml:space="preserve">1,495,535 </w:t>
            </w:r>
          </w:p>
        </w:tc>
      </w:tr>
    </w:tbl>
    <w:p w14:paraId="1C72E05D" w14:textId="7E16158A" w:rsidR="00AA1F63" w:rsidRDefault="00AA1F63" w:rsidP="007124DE"/>
    <w:p w14:paraId="63C7F6F5" w14:textId="77777777" w:rsidR="003C06B4" w:rsidRPr="00F61A58" w:rsidRDefault="003C06B4" w:rsidP="003C06B4">
      <w:pPr>
        <w:rPr>
          <w:sz w:val="14"/>
          <w:szCs w:val="14"/>
        </w:rPr>
      </w:pPr>
      <w:r w:rsidRPr="00F61A58">
        <w:rPr>
          <w:vertAlign w:val="superscript"/>
        </w:rPr>
        <w:t>(1)</w:t>
      </w:r>
      <w:r w:rsidRPr="00F61A58">
        <w:t xml:space="preserve"> </w:t>
      </w:r>
      <w:r w:rsidRPr="00F61A58">
        <w:rPr>
          <w:sz w:val="16"/>
          <w:szCs w:val="16"/>
        </w:rPr>
        <w:t xml:space="preserve">Consideration payable </w:t>
      </w:r>
      <w:r>
        <w:rPr>
          <w:sz w:val="16"/>
          <w:szCs w:val="16"/>
        </w:rPr>
        <w:t xml:space="preserve">of $200,363 to the seller of </w:t>
      </w:r>
      <w:proofErr w:type="spellStart"/>
      <w:r>
        <w:rPr>
          <w:sz w:val="16"/>
          <w:szCs w:val="16"/>
        </w:rPr>
        <w:t>MediSure</w:t>
      </w:r>
      <w:proofErr w:type="spellEnd"/>
    </w:p>
    <w:p w14:paraId="62EED70B" w14:textId="77777777" w:rsidR="008E268D" w:rsidRPr="005E3661" w:rsidRDefault="008E268D" w:rsidP="00B8542F"/>
    <w:p w14:paraId="023797DC" w14:textId="41048FE7" w:rsidR="001A7E6B" w:rsidRPr="005E3661" w:rsidRDefault="001A7E6B" w:rsidP="00B8542F">
      <w:r w:rsidRPr="005E3661">
        <w:t xml:space="preserve">The </w:t>
      </w:r>
      <w:r w:rsidR="008A511A">
        <w:t>B</w:t>
      </w:r>
      <w:r w:rsidRPr="005E3661">
        <w:t xml:space="preserve">oard of </w:t>
      </w:r>
      <w:r w:rsidR="008A511A">
        <w:t>D</w:t>
      </w:r>
      <w:r w:rsidRPr="005E3661">
        <w:t xml:space="preserve">irectors of the Company has overall responsibility for the establishment and oversight of the Company’s risk management policies on an annual basis. The Company’s </w:t>
      </w:r>
      <w:r w:rsidR="008A511A">
        <w:t>B</w:t>
      </w:r>
      <w:r w:rsidRPr="005E3661">
        <w:t xml:space="preserve">oard of </w:t>
      </w:r>
      <w:r w:rsidR="008A511A">
        <w:t>D</w:t>
      </w:r>
      <w:r w:rsidRPr="005E3661">
        <w:t>irectors identifies and evaluates the Company’s financial risks and is charged with the responsibility of establishing controls and procedures to</w:t>
      </w:r>
      <w:r w:rsidR="00B2083A" w:rsidRPr="005E3661">
        <w:t xml:space="preserve"> </w:t>
      </w:r>
      <w:r w:rsidRPr="005E3661">
        <w:t>ensure financial risks are mitigated.</w:t>
      </w:r>
    </w:p>
    <w:p w14:paraId="4DF60BA0" w14:textId="77777777" w:rsidR="006A653F" w:rsidRPr="005E3661" w:rsidRDefault="006A653F" w:rsidP="00B8542F"/>
    <w:p w14:paraId="3515D322" w14:textId="61DF6461" w:rsidR="001A7E6B" w:rsidRPr="005E3661" w:rsidRDefault="001A7E6B" w:rsidP="00B8542F">
      <w:r w:rsidRPr="005E3661">
        <w:t xml:space="preserve">The Company’s objectives when managing capital are to pursue and complete the identification and evaluation of assets, </w:t>
      </w:r>
      <w:r w:rsidR="00F66509" w:rsidRPr="005E3661">
        <w:t>properties,</w:t>
      </w:r>
      <w:r w:rsidRPr="005E3661">
        <w:t xml:space="preserve"> or businesses with a view to acquisition. The Company does not have any externally imposed capital requirements to which it is subject.</w:t>
      </w:r>
    </w:p>
    <w:p w14:paraId="0C591FAF" w14:textId="77777777" w:rsidR="00B2083A" w:rsidRPr="005E3661" w:rsidRDefault="00B2083A" w:rsidP="00B8542F"/>
    <w:p w14:paraId="423E54E2" w14:textId="251FC555" w:rsidR="001A7E6B" w:rsidRPr="005E3661" w:rsidRDefault="001A7E6B" w:rsidP="00B8542F">
      <w:r w:rsidRPr="005E3661">
        <w:t xml:space="preserve">The Company manages the capital structure and </w:t>
      </w:r>
      <w:r w:rsidR="00F66509" w:rsidRPr="005E3661">
        <w:t>adjusts</w:t>
      </w:r>
      <w:r w:rsidRPr="005E3661">
        <w:t xml:space="preserve"> it </w:t>
      </w:r>
      <w:proofErr w:type="gramStart"/>
      <w:r w:rsidRPr="005E3661">
        <w:t>in light of</w:t>
      </w:r>
      <w:proofErr w:type="gramEnd"/>
      <w:r w:rsidRPr="005E3661">
        <w:t xml:space="preserve"> changes in economic conditions and the risk characteristics of the underlying assets. To maintain or adjust the capital structure, the Company may attempt to issue new</w:t>
      </w:r>
      <w:r w:rsidR="00546001" w:rsidRPr="005E3661">
        <w:t xml:space="preserve"> common</w:t>
      </w:r>
      <w:r w:rsidRPr="005E3661">
        <w:t xml:space="preserve"> </w:t>
      </w:r>
      <w:r w:rsidR="00211362">
        <w:t>share</w:t>
      </w:r>
      <w:r w:rsidRPr="005E3661">
        <w:t>s or adjust the amount of cash.</w:t>
      </w:r>
    </w:p>
    <w:p w14:paraId="6C4B4C59" w14:textId="77777777" w:rsidR="001A7E6B" w:rsidRPr="005E3661" w:rsidRDefault="001A7E6B" w:rsidP="00B8542F"/>
    <w:p w14:paraId="147227F5" w14:textId="661626D9" w:rsidR="006512E0" w:rsidRPr="005E3661" w:rsidRDefault="001A7E6B" w:rsidP="00B8542F">
      <w:r w:rsidRPr="005E3661">
        <w:t>The Company’s investment policy is to invest excess cash in investment instruments at high credit, quality financial institutions with terms to maturity selected with regards to the expected time of expenditures from continuing operations.</w:t>
      </w:r>
    </w:p>
    <w:p w14:paraId="03E9C64B" w14:textId="1D681FB5" w:rsidR="00365548" w:rsidRDefault="00365548" w:rsidP="00365548"/>
    <w:p w14:paraId="3E9513AF" w14:textId="77777777" w:rsidR="00365548" w:rsidRDefault="00365548" w:rsidP="00365548"/>
    <w:p w14:paraId="61D3F2F3" w14:textId="3A68D821" w:rsidR="001A7E6B" w:rsidRPr="005E3661" w:rsidRDefault="00327130" w:rsidP="00327130">
      <w:pPr>
        <w:pStyle w:val="Heading1"/>
      </w:pPr>
      <w:r w:rsidRPr="005E3661">
        <w:t>Off-Balance Sheet Arrangements</w:t>
      </w:r>
    </w:p>
    <w:p w14:paraId="695C6736" w14:textId="77777777" w:rsidR="00BE1DF8" w:rsidRPr="005E3661" w:rsidRDefault="00BE1DF8" w:rsidP="00B8542F"/>
    <w:p w14:paraId="01FB3B70" w14:textId="4B67D4D2" w:rsidR="00B96480" w:rsidRPr="005E3661" w:rsidRDefault="001A7E6B" w:rsidP="00B8542F">
      <w:r w:rsidRPr="005E3661">
        <w:t xml:space="preserve">The Company has not </w:t>
      </w:r>
      <w:proofErr w:type="gramStart"/>
      <w:r w:rsidRPr="005E3661">
        <w:t>entered into</w:t>
      </w:r>
      <w:proofErr w:type="gramEnd"/>
      <w:r w:rsidRPr="005E3661">
        <w:t xml:space="preserve"> any material off-balance sheet arrangements such as guarantee contracts, contingent interests in assets transferred to unconsolidated entities, derivative financial obligations or arrangements with respect to any obligations under a variable interest equity arrangement.</w:t>
      </w:r>
    </w:p>
    <w:p w14:paraId="4F4E8CF2" w14:textId="2354D47B" w:rsidR="009127D6" w:rsidRDefault="009127D6" w:rsidP="00365548">
      <w:pPr>
        <w:pStyle w:val="NoSpacing"/>
        <w:tabs>
          <w:tab w:val="left" w:pos="465"/>
        </w:tabs>
        <w:jc w:val="both"/>
      </w:pPr>
    </w:p>
    <w:p w14:paraId="08684A21" w14:textId="77777777" w:rsidR="00365548" w:rsidRPr="005E3661" w:rsidRDefault="00365548" w:rsidP="00365548">
      <w:pPr>
        <w:pStyle w:val="NoSpacing"/>
        <w:tabs>
          <w:tab w:val="left" w:pos="465"/>
        </w:tabs>
        <w:jc w:val="both"/>
      </w:pPr>
    </w:p>
    <w:p w14:paraId="579F9A97" w14:textId="016E2B27" w:rsidR="00FA6D64" w:rsidRPr="005E3661" w:rsidRDefault="00327130" w:rsidP="00327130">
      <w:pPr>
        <w:pStyle w:val="Heading1"/>
      </w:pPr>
      <w:r w:rsidRPr="005E3661">
        <w:t>Related Party Transactions</w:t>
      </w:r>
    </w:p>
    <w:p w14:paraId="36B22273" w14:textId="77777777" w:rsidR="00B96480" w:rsidRPr="005E3661" w:rsidRDefault="00B96480" w:rsidP="00327130"/>
    <w:p w14:paraId="28A138BD" w14:textId="7495B804" w:rsidR="007F7BF4" w:rsidRPr="005E3661" w:rsidRDefault="007F7BF4" w:rsidP="00B8542F">
      <w:r w:rsidRPr="005E3661">
        <w:t xml:space="preserve">The Company’s related parties include key management personnel and any transactions with such parties for goods and/or services that are made on regular commercial terms. </w:t>
      </w:r>
      <w:r w:rsidR="003D390B" w:rsidRPr="005E3661">
        <w:t>During Q</w:t>
      </w:r>
      <w:r w:rsidR="00E850C5">
        <w:t>1</w:t>
      </w:r>
      <w:r w:rsidR="002C0C98" w:rsidRPr="005E3661">
        <w:t xml:space="preserve"> 202</w:t>
      </w:r>
      <w:r w:rsidR="00E850C5">
        <w:t>2</w:t>
      </w:r>
      <w:r w:rsidR="002C0C98" w:rsidRPr="005E3661">
        <w:t xml:space="preserve"> and Q</w:t>
      </w:r>
      <w:r w:rsidR="00E850C5">
        <w:t>1</w:t>
      </w:r>
      <w:r w:rsidR="002C0C98" w:rsidRPr="005E3661">
        <w:t xml:space="preserve"> 202</w:t>
      </w:r>
      <w:r w:rsidR="00E850C5">
        <w:t>1</w:t>
      </w:r>
      <w:r w:rsidR="00567124" w:rsidRPr="005E3661">
        <w:t xml:space="preserve">, </w:t>
      </w:r>
      <w:r w:rsidRPr="005E3661">
        <w:t xml:space="preserve">the Company did not </w:t>
      </w:r>
      <w:proofErr w:type="gramStart"/>
      <w:r w:rsidRPr="005E3661">
        <w:t>enter into</w:t>
      </w:r>
      <w:proofErr w:type="gramEnd"/>
      <w:r w:rsidRPr="005E3661">
        <w:t xml:space="preserve"> any transactions with related parties outside of compensation to key management personnel as disclosed below.</w:t>
      </w:r>
    </w:p>
    <w:p w14:paraId="13882217" w14:textId="180E2A1E" w:rsidR="009127D6" w:rsidRDefault="007F7BF4" w:rsidP="00B8542F">
      <w:r w:rsidRPr="005E3661">
        <w:lastRenderedPageBreak/>
        <w:t xml:space="preserve">Key management are those personnel having the authority and responsibility for planning, directing, and controlling the Company. Salaries and benefits, bonuses, and termination benefits are included in operating expenses and </w:t>
      </w:r>
      <w:r w:rsidR="00211362">
        <w:t>share</w:t>
      </w:r>
      <w:r w:rsidRPr="005E3661">
        <w:t xml:space="preserve">-based payments are recorded as </w:t>
      </w:r>
      <w:r w:rsidR="00211362">
        <w:t>share</w:t>
      </w:r>
      <w:r w:rsidRPr="005E3661">
        <w:t xml:space="preserve">-based payment expense or </w:t>
      </w:r>
      <w:r w:rsidR="00211362">
        <w:t>share</w:t>
      </w:r>
      <w:r w:rsidRPr="005E3661">
        <w:t xml:space="preserve"> capital.</w:t>
      </w:r>
      <w:r w:rsidR="00323351">
        <w:t xml:space="preserve"> </w:t>
      </w:r>
    </w:p>
    <w:p w14:paraId="0303A917" w14:textId="77777777" w:rsidR="00AA1F63" w:rsidRDefault="00AA1F63" w:rsidP="00B73BE1">
      <w:pPr>
        <w:pStyle w:val="NoSpacing"/>
        <w:jc w:val="both"/>
        <w:rPr>
          <w:rFonts w:eastAsiaTheme="minorHAnsi"/>
        </w:rPr>
      </w:pPr>
    </w:p>
    <w:p w14:paraId="10FCE23E" w14:textId="24A903CE" w:rsidR="00B73BE1" w:rsidRDefault="00B73BE1" w:rsidP="00B73BE1">
      <w:pPr>
        <w:pStyle w:val="NoSpacing"/>
        <w:jc w:val="both"/>
        <w:rPr>
          <w:rFonts w:eastAsiaTheme="minorHAnsi"/>
        </w:rPr>
      </w:pPr>
      <w:r w:rsidRPr="008949D9">
        <w:rPr>
          <w:rFonts w:eastAsiaTheme="minorHAnsi"/>
        </w:rPr>
        <w:t xml:space="preserve">Key management compensation for the </w:t>
      </w:r>
      <w:r>
        <w:rPr>
          <w:rFonts w:eastAsiaTheme="minorHAnsi"/>
        </w:rPr>
        <w:t>three months ended March 31</w:t>
      </w:r>
      <w:r w:rsidRPr="008949D9">
        <w:rPr>
          <w:rFonts w:eastAsiaTheme="minorHAnsi"/>
        </w:rPr>
        <w:t xml:space="preserve">, </w:t>
      </w:r>
      <w:proofErr w:type="gramStart"/>
      <w:r w:rsidRPr="008949D9">
        <w:rPr>
          <w:rFonts w:eastAsiaTheme="minorHAnsi"/>
        </w:rPr>
        <w:t>202</w:t>
      </w:r>
      <w:r>
        <w:rPr>
          <w:rFonts w:eastAsiaTheme="minorHAnsi"/>
        </w:rPr>
        <w:t>2</w:t>
      </w:r>
      <w:proofErr w:type="gramEnd"/>
      <w:r>
        <w:rPr>
          <w:rFonts w:eastAsiaTheme="minorHAnsi"/>
        </w:rPr>
        <w:t xml:space="preserve"> and </w:t>
      </w:r>
      <w:r w:rsidRPr="008949D9">
        <w:rPr>
          <w:rFonts w:eastAsiaTheme="minorHAnsi"/>
        </w:rPr>
        <w:t>202</w:t>
      </w:r>
      <w:r>
        <w:rPr>
          <w:rFonts w:eastAsiaTheme="minorHAnsi"/>
        </w:rPr>
        <w:t>1</w:t>
      </w:r>
      <w:r w:rsidRPr="008949D9">
        <w:rPr>
          <w:rFonts w:eastAsiaTheme="minorHAnsi"/>
        </w:rPr>
        <w:t xml:space="preserve"> includes:</w:t>
      </w:r>
    </w:p>
    <w:p w14:paraId="52484778" w14:textId="77777777" w:rsidR="00B73BE1" w:rsidRDefault="00B73BE1" w:rsidP="00B73BE1">
      <w:pPr>
        <w:pStyle w:val="NoSpacing"/>
        <w:jc w:val="both"/>
        <w:rPr>
          <w:rFonts w:eastAsiaTheme="minorHAnsi"/>
        </w:rPr>
      </w:pPr>
    </w:p>
    <w:tbl>
      <w:tblPr>
        <w:tblW w:w="5000" w:type="pct"/>
        <w:tblBorders>
          <w:bottom w:val="single" w:sz="12" w:space="0" w:color="auto"/>
        </w:tblBorders>
        <w:tblLook w:val="0000" w:firstRow="0" w:lastRow="0" w:firstColumn="0" w:lastColumn="0" w:noHBand="0" w:noVBand="0"/>
      </w:tblPr>
      <w:tblGrid>
        <w:gridCol w:w="6518"/>
        <w:gridCol w:w="1421"/>
        <w:gridCol w:w="1421"/>
      </w:tblGrid>
      <w:tr w:rsidR="00B73BE1" w:rsidRPr="008949D9" w14:paraId="659D47E1" w14:textId="77777777" w:rsidTr="00170494">
        <w:tc>
          <w:tcPr>
            <w:tcW w:w="3482" w:type="pct"/>
            <w:tcBorders>
              <w:top w:val="single" w:sz="4" w:space="0" w:color="auto"/>
              <w:bottom w:val="single" w:sz="12" w:space="0" w:color="auto"/>
            </w:tcBorders>
            <w:shd w:val="clear" w:color="auto" w:fill="auto"/>
            <w:vAlign w:val="bottom"/>
          </w:tcPr>
          <w:p w14:paraId="572BA40A" w14:textId="77777777" w:rsidR="00B73BE1" w:rsidRPr="008949D9" w:rsidRDefault="00B73BE1" w:rsidP="00533D6D"/>
        </w:tc>
        <w:tc>
          <w:tcPr>
            <w:tcW w:w="759" w:type="pct"/>
            <w:tcBorders>
              <w:top w:val="single" w:sz="4" w:space="0" w:color="auto"/>
              <w:bottom w:val="single" w:sz="12" w:space="0" w:color="auto"/>
            </w:tcBorders>
            <w:shd w:val="clear" w:color="auto" w:fill="auto"/>
            <w:vAlign w:val="bottom"/>
          </w:tcPr>
          <w:p w14:paraId="4040F710" w14:textId="77777777" w:rsidR="00B73BE1" w:rsidRPr="008949D9" w:rsidRDefault="00B73BE1" w:rsidP="00533D6D">
            <w:pPr>
              <w:jc w:val="right"/>
              <w:rPr>
                <w:b/>
              </w:rPr>
            </w:pPr>
            <w:r w:rsidRPr="008949D9">
              <w:rPr>
                <w:b/>
              </w:rPr>
              <w:t>202</w:t>
            </w:r>
            <w:r>
              <w:rPr>
                <w:b/>
              </w:rPr>
              <w:t>2</w:t>
            </w:r>
          </w:p>
        </w:tc>
        <w:tc>
          <w:tcPr>
            <w:tcW w:w="759" w:type="pct"/>
            <w:tcBorders>
              <w:top w:val="single" w:sz="4" w:space="0" w:color="auto"/>
              <w:bottom w:val="single" w:sz="12" w:space="0" w:color="auto"/>
            </w:tcBorders>
            <w:vAlign w:val="bottom"/>
          </w:tcPr>
          <w:p w14:paraId="1752FC14" w14:textId="77777777" w:rsidR="00B73BE1" w:rsidRPr="008949D9" w:rsidRDefault="00B73BE1" w:rsidP="00533D6D">
            <w:pPr>
              <w:jc w:val="right"/>
              <w:rPr>
                <w:bCs/>
              </w:rPr>
            </w:pPr>
            <w:r w:rsidRPr="008949D9">
              <w:rPr>
                <w:bCs/>
              </w:rPr>
              <w:t>202</w:t>
            </w:r>
            <w:r>
              <w:rPr>
                <w:bCs/>
              </w:rPr>
              <w:t>1</w:t>
            </w:r>
          </w:p>
        </w:tc>
      </w:tr>
      <w:tr w:rsidR="00B73BE1" w:rsidRPr="008949D9" w14:paraId="09599CD6" w14:textId="77777777" w:rsidTr="00170494">
        <w:tc>
          <w:tcPr>
            <w:tcW w:w="3482" w:type="pct"/>
            <w:tcBorders>
              <w:top w:val="single" w:sz="12" w:space="0" w:color="auto"/>
              <w:bottom w:val="nil"/>
            </w:tcBorders>
            <w:shd w:val="clear" w:color="auto" w:fill="auto"/>
            <w:vAlign w:val="bottom"/>
          </w:tcPr>
          <w:p w14:paraId="5DDB80EB" w14:textId="77777777" w:rsidR="00B73BE1" w:rsidRPr="008949D9" w:rsidRDefault="00B73BE1" w:rsidP="00533D6D"/>
        </w:tc>
        <w:tc>
          <w:tcPr>
            <w:tcW w:w="759" w:type="pct"/>
            <w:tcBorders>
              <w:top w:val="single" w:sz="12" w:space="0" w:color="auto"/>
              <w:bottom w:val="nil"/>
            </w:tcBorders>
            <w:shd w:val="clear" w:color="auto" w:fill="auto"/>
            <w:vAlign w:val="bottom"/>
          </w:tcPr>
          <w:p w14:paraId="48ED8CB7" w14:textId="77777777" w:rsidR="00B73BE1" w:rsidRPr="008949D9" w:rsidRDefault="00B73BE1" w:rsidP="00533D6D">
            <w:pPr>
              <w:jc w:val="right"/>
              <w:rPr>
                <w:b/>
              </w:rPr>
            </w:pPr>
            <w:r w:rsidRPr="008949D9">
              <w:rPr>
                <w:b/>
              </w:rPr>
              <w:t>$</w:t>
            </w:r>
          </w:p>
        </w:tc>
        <w:tc>
          <w:tcPr>
            <w:tcW w:w="759" w:type="pct"/>
            <w:tcBorders>
              <w:top w:val="single" w:sz="12" w:space="0" w:color="auto"/>
              <w:bottom w:val="nil"/>
            </w:tcBorders>
            <w:vAlign w:val="bottom"/>
          </w:tcPr>
          <w:p w14:paraId="5C3C1E0C" w14:textId="77777777" w:rsidR="00B73BE1" w:rsidRPr="008949D9" w:rsidRDefault="00B73BE1" w:rsidP="00533D6D">
            <w:pPr>
              <w:jc w:val="right"/>
              <w:rPr>
                <w:bCs/>
              </w:rPr>
            </w:pPr>
            <w:r w:rsidRPr="008949D9">
              <w:rPr>
                <w:bCs/>
              </w:rPr>
              <w:t>$</w:t>
            </w:r>
          </w:p>
        </w:tc>
      </w:tr>
      <w:tr w:rsidR="003C06B4" w:rsidRPr="008949D9" w14:paraId="71330D40" w14:textId="77777777" w:rsidTr="003C06B4">
        <w:tblPrEx>
          <w:tblBorders>
            <w:bottom w:val="none" w:sz="0" w:space="0" w:color="auto"/>
          </w:tblBorders>
        </w:tblPrEx>
        <w:tc>
          <w:tcPr>
            <w:tcW w:w="3482" w:type="pct"/>
            <w:shd w:val="clear" w:color="auto" w:fill="auto"/>
            <w:vAlign w:val="bottom"/>
          </w:tcPr>
          <w:p w14:paraId="4DE2757D" w14:textId="77777777" w:rsidR="003C06B4" w:rsidRPr="008949D9" w:rsidRDefault="003C06B4" w:rsidP="003C06B4">
            <w:pPr>
              <w:jc w:val="left"/>
            </w:pPr>
            <w:r w:rsidRPr="008949D9">
              <w:rPr>
                <w:rFonts w:eastAsia="SimSun"/>
                <w:lang w:eastAsia="zh-CN"/>
              </w:rPr>
              <w:t>Salaries and benefits</w:t>
            </w:r>
          </w:p>
        </w:tc>
        <w:tc>
          <w:tcPr>
            <w:tcW w:w="759" w:type="pct"/>
            <w:shd w:val="clear" w:color="auto" w:fill="auto"/>
            <w:vAlign w:val="bottom"/>
          </w:tcPr>
          <w:p w14:paraId="03C21BA6" w14:textId="23926B96" w:rsidR="003C06B4" w:rsidRPr="009F7AA9" w:rsidRDefault="003C06B4" w:rsidP="003C06B4">
            <w:pPr>
              <w:jc w:val="right"/>
              <w:rPr>
                <w:b/>
              </w:rPr>
            </w:pPr>
            <w:r>
              <w:rPr>
                <w:b/>
                <w:bCs/>
                <w:color w:val="000000"/>
              </w:rPr>
              <w:t>250,465</w:t>
            </w:r>
          </w:p>
        </w:tc>
        <w:tc>
          <w:tcPr>
            <w:tcW w:w="759" w:type="pct"/>
            <w:vAlign w:val="bottom"/>
          </w:tcPr>
          <w:p w14:paraId="48AB5D9C" w14:textId="3AC345C0" w:rsidR="003C06B4" w:rsidRPr="008949D9" w:rsidRDefault="003C06B4" w:rsidP="003C06B4">
            <w:pPr>
              <w:jc w:val="right"/>
              <w:rPr>
                <w:bCs/>
              </w:rPr>
            </w:pPr>
            <w:r>
              <w:rPr>
                <w:color w:val="000000"/>
              </w:rPr>
              <w:t>215,859</w:t>
            </w:r>
          </w:p>
        </w:tc>
      </w:tr>
      <w:tr w:rsidR="003C06B4" w:rsidRPr="008949D9" w14:paraId="68F13F9D" w14:textId="77777777" w:rsidTr="003C06B4">
        <w:tblPrEx>
          <w:tblBorders>
            <w:bottom w:val="none" w:sz="0" w:space="0" w:color="auto"/>
          </w:tblBorders>
        </w:tblPrEx>
        <w:tc>
          <w:tcPr>
            <w:tcW w:w="3482" w:type="pct"/>
            <w:shd w:val="clear" w:color="auto" w:fill="auto"/>
            <w:vAlign w:val="bottom"/>
          </w:tcPr>
          <w:p w14:paraId="4E903973" w14:textId="77777777" w:rsidR="003C06B4" w:rsidRPr="008949D9" w:rsidRDefault="003C06B4" w:rsidP="003C06B4">
            <w:pPr>
              <w:pStyle w:val="NoSpacing"/>
              <w:jc w:val="left"/>
            </w:pPr>
            <w:r w:rsidRPr="008949D9">
              <w:rPr>
                <w:rFonts w:eastAsia="SimSun"/>
                <w:lang w:eastAsia="zh-CN"/>
              </w:rPr>
              <w:t>Share-based payments</w:t>
            </w:r>
          </w:p>
        </w:tc>
        <w:tc>
          <w:tcPr>
            <w:tcW w:w="759" w:type="pct"/>
            <w:shd w:val="clear" w:color="auto" w:fill="auto"/>
            <w:vAlign w:val="bottom"/>
          </w:tcPr>
          <w:p w14:paraId="0DF8CB85" w14:textId="4B656D6E" w:rsidR="003C06B4" w:rsidRPr="009F7AA9" w:rsidRDefault="003C06B4" w:rsidP="003C06B4">
            <w:pPr>
              <w:jc w:val="right"/>
              <w:rPr>
                <w:b/>
              </w:rPr>
            </w:pPr>
            <w:r>
              <w:rPr>
                <w:b/>
                <w:bCs/>
                <w:color w:val="000000"/>
              </w:rPr>
              <w:t>26,057</w:t>
            </w:r>
          </w:p>
        </w:tc>
        <w:tc>
          <w:tcPr>
            <w:tcW w:w="759" w:type="pct"/>
            <w:vAlign w:val="bottom"/>
          </w:tcPr>
          <w:p w14:paraId="1CA45F85" w14:textId="4C603FA5" w:rsidR="003C06B4" w:rsidRPr="008949D9" w:rsidRDefault="003C06B4" w:rsidP="003C06B4">
            <w:pPr>
              <w:jc w:val="right"/>
              <w:rPr>
                <w:bCs/>
              </w:rPr>
            </w:pPr>
            <w:r>
              <w:rPr>
                <w:color w:val="000000"/>
              </w:rPr>
              <w:t>233,486</w:t>
            </w:r>
          </w:p>
        </w:tc>
      </w:tr>
      <w:tr w:rsidR="003C06B4" w:rsidRPr="008949D9" w14:paraId="1ECE3388" w14:textId="77777777" w:rsidTr="003C06B4">
        <w:tblPrEx>
          <w:tblBorders>
            <w:bottom w:val="none" w:sz="0" w:space="0" w:color="auto"/>
          </w:tblBorders>
        </w:tblPrEx>
        <w:tc>
          <w:tcPr>
            <w:tcW w:w="3482" w:type="pct"/>
            <w:tcBorders>
              <w:bottom w:val="single" w:sz="4" w:space="0" w:color="auto"/>
            </w:tcBorders>
            <w:shd w:val="clear" w:color="auto" w:fill="auto"/>
            <w:vAlign w:val="bottom"/>
          </w:tcPr>
          <w:p w14:paraId="0A22631F" w14:textId="77777777" w:rsidR="003C06B4" w:rsidRPr="008949D9" w:rsidRDefault="003C06B4" w:rsidP="003C06B4">
            <w:pPr>
              <w:pStyle w:val="NoSpacing"/>
              <w:jc w:val="left"/>
              <w:rPr>
                <w:rFonts w:eastAsia="SimSun"/>
                <w:lang w:eastAsia="zh-CN"/>
              </w:rPr>
            </w:pPr>
            <w:r w:rsidRPr="008949D9">
              <w:rPr>
                <w:rFonts w:eastAsia="SimSun"/>
                <w:lang w:eastAsia="zh-CN"/>
              </w:rPr>
              <w:t>Directors’ fees</w:t>
            </w:r>
          </w:p>
        </w:tc>
        <w:tc>
          <w:tcPr>
            <w:tcW w:w="759" w:type="pct"/>
            <w:tcBorders>
              <w:bottom w:val="single" w:sz="4" w:space="0" w:color="auto"/>
            </w:tcBorders>
            <w:shd w:val="clear" w:color="auto" w:fill="auto"/>
            <w:vAlign w:val="bottom"/>
          </w:tcPr>
          <w:p w14:paraId="6441641E" w14:textId="19C5FFFB" w:rsidR="003C06B4" w:rsidRPr="009F7AA9" w:rsidRDefault="003C06B4" w:rsidP="003C06B4">
            <w:pPr>
              <w:jc w:val="right"/>
              <w:rPr>
                <w:b/>
              </w:rPr>
            </w:pPr>
            <w:r>
              <w:rPr>
                <w:b/>
                <w:bCs/>
                <w:color w:val="000000"/>
              </w:rPr>
              <w:t>11,000</w:t>
            </w:r>
          </w:p>
        </w:tc>
        <w:tc>
          <w:tcPr>
            <w:tcW w:w="759" w:type="pct"/>
            <w:tcBorders>
              <w:bottom w:val="single" w:sz="4" w:space="0" w:color="auto"/>
            </w:tcBorders>
            <w:vAlign w:val="bottom"/>
          </w:tcPr>
          <w:p w14:paraId="3BAAB428" w14:textId="24281166" w:rsidR="003C06B4" w:rsidRPr="008949D9" w:rsidRDefault="003C06B4" w:rsidP="003C06B4">
            <w:pPr>
              <w:jc w:val="right"/>
              <w:rPr>
                <w:bCs/>
              </w:rPr>
            </w:pPr>
            <w:r>
              <w:rPr>
                <w:color w:val="000000"/>
              </w:rPr>
              <w:t>5,000</w:t>
            </w:r>
          </w:p>
        </w:tc>
      </w:tr>
      <w:tr w:rsidR="003C06B4" w:rsidRPr="008949D9" w14:paraId="563A8BB7" w14:textId="77777777" w:rsidTr="00170494">
        <w:tblPrEx>
          <w:tblBorders>
            <w:bottom w:val="none" w:sz="0" w:space="0" w:color="auto"/>
          </w:tblBorders>
        </w:tblPrEx>
        <w:tc>
          <w:tcPr>
            <w:tcW w:w="3482" w:type="pct"/>
            <w:tcBorders>
              <w:top w:val="single" w:sz="4" w:space="0" w:color="auto"/>
              <w:bottom w:val="single" w:sz="12" w:space="0" w:color="auto"/>
            </w:tcBorders>
            <w:shd w:val="clear" w:color="auto" w:fill="auto"/>
            <w:vAlign w:val="bottom"/>
          </w:tcPr>
          <w:p w14:paraId="679BA971" w14:textId="77777777" w:rsidR="003C06B4" w:rsidRPr="008949D9" w:rsidRDefault="003C06B4" w:rsidP="003C06B4">
            <w:pPr>
              <w:jc w:val="left"/>
              <w:rPr>
                <w:b/>
              </w:rPr>
            </w:pPr>
          </w:p>
        </w:tc>
        <w:tc>
          <w:tcPr>
            <w:tcW w:w="759" w:type="pct"/>
            <w:tcBorders>
              <w:top w:val="single" w:sz="4" w:space="0" w:color="auto"/>
              <w:bottom w:val="single" w:sz="12" w:space="0" w:color="auto"/>
            </w:tcBorders>
            <w:shd w:val="clear" w:color="auto" w:fill="auto"/>
            <w:vAlign w:val="bottom"/>
          </w:tcPr>
          <w:p w14:paraId="59C0475D" w14:textId="4F0C5C62" w:rsidR="003C06B4" w:rsidRPr="009F7AA9" w:rsidRDefault="003C06B4" w:rsidP="003C06B4">
            <w:pPr>
              <w:jc w:val="right"/>
              <w:rPr>
                <w:b/>
              </w:rPr>
            </w:pPr>
            <w:r>
              <w:rPr>
                <w:b/>
                <w:bCs/>
                <w:color w:val="000000"/>
              </w:rPr>
              <w:t>287,522</w:t>
            </w:r>
          </w:p>
        </w:tc>
        <w:tc>
          <w:tcPr>
            <w:tcW w:w="759" w:type="pct"/>
            <w:tcBorders>
              <w:top w:val="single" w:sz="4" w:space="0" w:color="auto"/>
              <w:bottom w:val="single" w:sz="12" w:space="0" w:color="auto"/>
            </w:tcBorders>
            <w:vAlign w:val="bottom"/>
          </w:tcPr>
          <w:p w14:paraId="407EA988" w14:textId="249EE4A3" w:rsidR="003C06B4" w:rsidRPr="008949D9" w:rsidRDefault="003C06B4" w:rsidP="003C06B4">
            <w:pPr>
              <w:jc w:val="right"/>
              <w:rPr>
                <w:bCs/>
              </w:rPr>
            </w:pPr>
            <w:r>
              <w:rPr>
                <w:color w:val="000000"/>
              </w:rPr>
              <w:t>454,345</w:t>
            </w:r>
          </w:p>
        </w:tc>
      </w:tr>
    </w:tbl>
    <w:p w14:paraId="7D9A61B3" w14:textId="77777777" w:rsidR="00F413A2" w:rsidRPr="005E3661" w:rsidRDefault="00F413A2" w:rsidP="00B8542F"/>
    <w:p w14:paraId="7F946809" w14:textId="77777777" w:rsidR="00F0072F" w:rsidRPr="008949D9" w:rsidRDefault="00F0072F" w:rsidP="00F0072F">
      <w:pPr>
        <w:pStyle w:val="NoSpacing"/>
        <w:jc w:val="both"/>
        <w:rPr>
          <w:rFonts w:eastAsiaTheme="minorHAnsi"/>
        </w:rPr>
      </w:pPr>
      <w:r w:rsidRPr="009D609C">
        <w:rPr>
          <w:rFonts w:eastAsiaTheme="minorHAnsi"/>
        </w:rPr>
        <w:t xml:space="preserve">Included in salaries and benefits for the </w:t>
      </w:r>
      <w:r>
        <w:rPr>
          <w:rFonts w:eastAsiaTheme="minorHAnsi"/>
        </w:rPr>
        <w:t xml:space="preserve">three months ended March </w:t>
      </w:r>
      <w:r w:rsidRPr="009D609C">
        <w:rPr>
          <w:rFonts w:eastAsiaTheme="minorHAnsi"/>
        </w:rPr>
        <w:t xml:space="preserve">31, </w:t>
      </w:r>
      <w:proofErr w:type="gramStart"/>
      <w:r w:rsidRPr="009D609C">
        <w:rPr>
          <w:rFonts w:eastAsiaTheme="minorHAnsi"/>
        </w:rPr>
        <w:t>202</w:t>
      </w:r>
      <w:r>
        <w:rPr>
          <w:rFonts w:eastAsiaTheme="minorHAnsi"/>
        </w:rPr>
        <w:t>2</w:t>
      </w:r>
      <w:proofErr w:type="gramEnd"/>
      <w:r w:rsidRPr="009D609C">
        <w:rPr>
          <w:rFonts w:eastAsiaTheme="minorHAnsi"/>
        </w:rPr>
        <w:t xml:space="preserve"> </w:t>
      </w:r>
      <w:r w:rsidRPr="001D59BC">
        <w:rPr>
          <w:rFonts w:eastAsiaTheme="minorHAnsi"/>
        </w:rPr>
        <w:t>is $nil</w:t>
      </w:r>
      <w:r w:rsidRPr="009D609C">
        <w:rPr>
          <w:rFonts w:eastAsiaTheme="minorHAnsi"/>
        </w:rPr>
        <w:t xml:space="preserve"> (202</w:t>
      </w:r>
      <w:r>
        <w:rPr>
          <w:rFonts w:eastAsiaTheme="minorHAnsi"/>
        </w:rPr>
        <w:t>1</w:t>
      </w:r>
      <w:r w:rsidRPr="009D609C">
        <w:rPr>
          <w:rFonts w:eastAsiaTheme="minorHAnsi"/>
        </w:rPr>
        <w:t xml:space="preserve"> - $nil) related to common shares awarded to the CEO.</w:t>
      </w:r>
    </w:p>
    <w:p w14:paraId="7B68121C" w14:textId="77777777" w:rsidR="00F0072F" w:rsidRDefault="00F0072F" w:rsidP="00F0072F">
      <w:pPr>
        <w:pStyle w:val="NoSpacing"/>
        <w:jc w:val="both"/>
        <w:rPr>
          <w:rFonts w:eastAsiaTheme="minorHAnsi"/>
        </w:rPr>
      </w:pPr>
      <w:bookmarkStart w:id="1" w:name="_Hlk77094691"/>
    </w:p>
    <w:p w14:paraId="628BAB4A" w14:textId="77777777" w:rsidR="00F0072F" w:rsidRPr="008949D9" w:rsidRDefault="00F0072F" w:rsidP="00F0072F">
      <w:pPr>
        <w:pStyle w:val="NoSpacing"/>
        <w:jc w:val="both"/>
        <w:rPr>
          <w:rFonts w:eastAsiaTheme="minorHAnsi"/>
        </w:rPr>
      </w:pPr>
      <w:r w:rsidRPr="008949D9">
        <w:rPr>
          <w:rFonts w:eastAsiaTheme="minorHAnsi"/>
        </w:rPr>
        <w:t xml:space="preserve">As </w:t>
      </w:r>
      <w:proofErr w:type="gramStart"/>
      <w:r>
        <w:rPr>
          <w:rFonts w:eastAsiaTheme="minorHAnsi"/>
        </w:rPr>
        <w:t>at</w:t>
      </w:r>
      <w:proofErr w:type="gramEnd"/>
      <w:r>
        <w:rPr>
          <w:rFonts w:eastAsiaTheme="minorHAnsi"/>
        </w:rPr>
        <w:t xml:space="preserve"> March 31</w:t>
      </w:r>
      <w:r w:rsidRPr="008949D9">
        <w:rPr>
          <w:rFonts w:eastAsiaTheme="minorHAnsi"/>
        </w:rPr>
        <w:t xml:space="preserve">, </w:t>
      </w:r>
      <w:r w:rsidRPr="000544C2">
        <w:rPr>
          <w:rFonts w:eastAsiaTheme="minorHAnsi"/>
        </w:rPr>
        <w:t>202</w:t>
      </w:r>
      <w:r>
        <w:rPr>
          <w:rFonts w:eastAsiaTheme="minorHAnsi"/>
        </w:rPr>
        <w:t>2</w:t>
      </w:r>
      <w:r w:rsidRPr="000544C2">
        <w:rPr>
          <w:rFonts w:eastAsiaTheme="minorHAnsi"/>
        </w:rPr>
        <w:t>,</w:t>
      </w:r>
      <w:r>
        <w:rPr>
          <w:rFonts w:eastAsiaTheme="minorHAnsi"/>
        </w:rPr>
        <w:t xml:space="preserve"> $</w:t>
      </w:r>
      <w:r w:rsidRPr="00A84362">
        <w:rPr>
          <w:rFonts w:eastAsiaTheme="minorHAnsi"/>
        </w:rPr>
        <w:t>39,324</w:t>
      </w:r>
      <w:r w:rsidRPr="008949D9">
        <w:rPr>
          <w:rFonts w:eastAsiaTheme="minorHAnsi"/>
        </w:rPr>
        <w:t xml:space="preserve"> (December 31, 202</w:t>
      </w:r>
      <w:r>
        <w:rPr>
          <w:rFonts w:eastAsiaTheme="minorHAnsi"/>
        </w:rPr>
        <w:t>1</w:t>
      </w:r>
      <w:r w:rsidRPr="008949D9">
        <w:rPr>
          <w:rFonts w:eastAsiaTheme="minorHAnsi"/>
        </w:rPr>
        <w:t xml:space="preserve"> - $</w:t>
      </w:r>
      <w:r>
        <w:rPr>
          <w:rFonts w:eastAsiaTheme="minorHAnsi"/>
        </w:rPr>
        <w:t>172,934</w:t>
      </w:r>
      <w:r w:rsidRPr="008949D9">
        <w:rPr>
          <w:rFonts w:eastAsiaTheme="minorHAnsi"/>
        </w:rPr>
        <w:t>) is due to the CEO</w:t>
      </w:r>
      <w:r>
        <w:rPr>
          <w:rFonts w:eastAsiaTheme="minorHAnsi"/>
        </w:rPr>
        <w:t xml:space="preserve"> </w:t>
      </w:r>
      <w:r w:rsidRPr="008949D9">
        <w:rPr>
          <w:rFonts w:eastAsiaTheme="minorHAnsi"/>
        </w:rPr>
        <w:t>for salaries and benefits. The amounts are unsecured and due on demand.</w:t>
      </w:r>
    </w:p>
    <w:bookmarkEnd w:id="1"/>
    <w:p w14:paraId="23371E1C" w14:textId="77777777" w:rsidR="00F0072F" w:rsidRPr="008949D9" w:rsidRDefault="00F0072F" w:rsidP="00F0072F">
      <w:pPr>
        <w:autoSpaceDE w:val="0"/>
        <w:autoSpaceDN w:val="0"/>
        <w:adjustRightInd w:val="0"/>
        <w:rPr>
          <w:rFonts w:eastAsiaTheme="minorHAnsi"/>
        </w:rPr>
      </w:pPr>
    </w:p>
    <w:p w14:paraId="148AE50D" w14:textId="77777777" w:rsidR="00F0072F" w:rsidRDefault="00F0072F" w:rsidP="00F0072F">
      <w:pPr>
        <w:pStyle w:val="NoSpacing"/>
        <w:jc w:val="both"/>
        <w:rPr>
          <w:rFonts w:eastAsiaTheme="minorHAnsi"/>
        </w:rPr>
      </w:pPr>
      <w:bookmarkStart w:id="2" w:name="_Hlk117600744"/>
      <w:r w:rsidRPr="00286A03">
        <w:rPr>
          <w:rFonts w:eastAsiaTheme="minorHAnsi"/>
        </w:rPr>
        <w:t xml:space="preserve">As </w:t>
      </w:r>
      <w:proofErr w:type="gramStart"/>
      <w:r w:rsidRPr="00286A03">
        <w:rPr>
          <w:rFonts w:eastAsiaTheme="minorHAnsi"/>
        </w:rPr>
        <w:t>at</w:t>
      </w:r>
      <w:proofErr w:type="gramEnd"/>
      <w:r w:rsidRPr="00286A03">
        <w:rPr>
          <w:rFonts w:eastAsiaTheme="minorHAnsi"/>
        </w:rPr>
        <w:t xml:space="preserve"> </w:t>
      </w:r>
      <w:r>
        <w:rPr>
          <w:rFonts w:eastAsiaTheme="minorHAnsi"/>
        </w:rPr>
        <w:t xml:space="preserve">March 31, 2022 and </w:t>
      </w:r>
      <w:r w:rsidRPr="00286A03">
        <w:rPr>
          <w:rFonts w:eastAsiaTheme="minorHAnsi"/>
        </w:rPr>
        <w:t xml:space="preserve">December 31, 2021, </w:t>
      </w:r>
      <w:r>
        <w:rPr>
          <w:rFonts w:eastAsiaTheme="minorHAnsi"/>
        </w:rPr>
        <w:t xml:space="preserve">the </w:t>
      </w:r>
      <w:r w:rsidRPr="00286A03">
        <w:rPr>
          <w:rFonts w:eastAsiaTheme="minorHAnsi"/>
        </w:rPr>
        <w:t>other asset</w:t>
      </w:r>
      <w:r>
        <w:rPr>
          <w:rFonts w:eastAsiaTheme="minorHAnsi"/>
        </w:rPr>
        <w:t>s</w:t>
      </w:r>
      <w:r w:rsidRPr="00286A03">
        <w:rPr>
          <w:rFonts w:eastAsiaTheme="minorHAnsi"/>
        </w:rPr>
        <w:t xml:space="preserve"> </w:t>
      </w:r>
      <w:r>
        <w:rPr>
          <w:rFonts w:eastAsiaTheme="minorHAnsi"/>
        </w:rPr>
        <w:t>balance of $</w:t>
      </w:r>
      <w:r w:rsidRPr="003651B1">
        <w:rPr>
          <w:rFonts w:eastAsiaTheme="minorHAnsi"/>
        </w:rPr>
        <w:t>745,531</w:t>
      </w:r>
      <w:r>
        <w:rPr>
          <w:rFonts w:eastAsiaTheme="minorHAnsi"/>
        </w:rPr>
        <w:t xml:space="preserve"> </w:t>
      </w:r>
      <w:r w:rsidRPr="00286A03">
        <w:rPr>
          <w:rFonts w:eastAsiaTheme="minorHAnsi"/>
        </w:rPr>
        <w:t xml:space="preserve">represents </w:t>
      </w:r>
      <w:r>
        <w:rPr>
          <w:rFonts w:eastAsiaTheme="minorHAnsi"/>
        </w:rPr>
        <w:t xml:space="preserve">a loan with the CEO resulting from </w:t>
      </w:r>
      <w:r w:rsidRPr="00286A03">
        <w:rPr>
          <w:rFonts w:eastAsiaTheme="minorHAnsi"/>
        </w:rPr>
        <w:t>share subscription</w:t>
      </w:r>
      <w:r>
        <w:rPr>
          <w:rFonts w:eastAsiaTheme="minorHAnsi"/>
        </w:rPr>
        <w:t>s</w:t>
      </w:r>
      <w:r w:rsidRPr="00286A03">
        <w:rPr>
          <w:rFonts w:eastAsiaTheme="minorHAnsi"/>
        </w:rPr>
        <w:t xml:space="preserve"> receivable. </w:t>
      </w:r>
      <w:r w:rsidRPr="00EE6AF1">
        <w:rPr>
          <w:rFonts w:eastAsiaTheme="minorHAnsi"/>
        </w:rPr>
        <w:t xml:space="preserve">The amount was previously classified within equity as the loan was previously collateralized by the common shares of the Company </w:t>
      </w:r>
      <w:r>
        <w:rPr>
          <w:rFonts w:eastAsiaTheme="minorHAnsi"/>
        </w:rPr>
        <w:t>owned</w:t>
      </w:r>
      <w:r w:rsidRPr="00EE6AF1">
        <w:rPr>
          <w:rFonts w:eastAsiaTheme="minorHAnsi"/>
        </w:rPr>
        <w:t xml:space="preserve"> by the CEO. During the year ended December 31, 2021, the terms of the loan were modified such that the loan is no longer collateralized by the</w:t>
      </w:r>
      <w:r>
        <w:rPr>
          <w:rFonts w:eastAsiaTheme="minorHAnsi"/>
        </w:rPr>
        <w:t xml:space="preserve"> CEO’s</w:t>
      </w:r>
      <w:r w:rsidRPr="00EE6AF1">
        <w:rPr>
          <w:rFonts w:eastAsiaTheme="minorHAnsi"/>
        </w:rPr>
        <w:t xml:space="preserve"> common shares</w:t>
      </w:r>
      <w:r w:rsidRPr="00286A03">
        <w:rPr>
          <w:rFonts w:eastAsiaTheme="minorHAnsi"/>
        </w:rPr>
        <w:t xml:space="preserve">. The receivable has no specified interest or terms of repayment. Management assessed credit risk of the share subscription receivable as low as the Company has offsetting payables to the CEO </w:t>
      </w:r>
      <w:r>
        <w:rPr>
          <w:rFonts w:eastAsiaTheme="minorHAnsi"/>
        </w:rPr>
        <w:t>and an ongoing service contract.</w:t>
      </w:r>
    </w:p>
    <w:bookmarkEnd w:id="2"/>
    <w:p w14:paraId="07D3304F" w14:textId="68907C4F" w:rsidR="00E23B5D" w:rsidRDefault="00E23B5D" w:rsidP="00B8542F"/>
    <w:p w14:paraId="09FDC622" w14:textId="77777777" w:rsidR="009127D6" w:rsidRPr="005E3661" w:rsidRDefault="009127D6" w:rsidP="00B8542F"/>
    <w:p w14:paraId="544739B4" w14:textId="7B336BA6" w:rsidR="00A353D2" w:rsidRPr="005E3661" w:rsidRDefault="00327130" w:rsidP="00327130">
      <w:pPr>
        <w:pStyle w:val="Heading1"/>
      </w:pPr>
      <w:r w:rsidRPr="005E3661">
        <w:t>International Financial Reporting Standards</w:t>
      </w:r>
    </w:p>
    <w:p w14:paraId="4495A7B9" w14:textId="3C504E4E" w:rsidR="00A353D2" w:rsidRPr="005E3661" w:rsidRDefault="00A353D2" w:rsidP="00486B02"/>
    <w:p w14:paraId="44118EBF" w14:textId="77777777" w:rsidR="00486B02" w:rsidRPr="00FD6826" w:rsidRDefault="000F3654" w:rsidP="00486B02">
      <w:pPr>
        <w:pStyle w:val="NoSpacing"/>
        <w:jc w:val="both"/>
      </w:pPr>
      <w:r w:rsidRPr="00515543">
        <w:t xml:space="preserve">The </w:t>
      </w:r>
      <w:r w:rsidR="001473D2">
        <w:t>interim</w:t>
      </w:r>
      <w:r w:rsidRPr="00515543">
        <w:t xml:space="preserve"> financial statements have been prepared in accordance with IFRS as issued by the IASB, effective as of </w:t>
      </w:r>
      <w:r w:rsidR="00643857">
        <w:t>March</w:t>
      </w:r>
      <w:r w:rsidRPr="00515543">
        <w:t xml:space="preserve"> 31, 202</w:t>
      </w:r>
      <w:r w:rsidR="00643857">
        <w:t>2</w:t>
      </w:r>
      <w:r w:rsidRPr="00515543">
        <w:t xml:space="preserve">. The Company’s significant accounting policies are described </w:t>
      </w:r>
      <w:r w:rsidR="00486B02" w:rsidRPr="008949D9">
        <w:t>in note 3 to the annual consolidated financial statements</w:t>
      </w:r>
      <w:r w:rsidR="00486B02">
        <w:t xml:space="preserve"> for the years ended December 31, 2021</w:t>
      </w:r>
      <w:r w:rsidR="00486B02" w:rsidRPr="00607843">
        <w:t>, 2020 and 2019.</w:t>
      </w:r>
    </w:p>
    <w:p w14:paraId="1EFB8267" w14:textId="709E1E0F" w:rsidR="000F3654" w:rsidRDefault="000F3654" w:rsidP="00327130"/>
    <w:p w14:paraId="026A693C" w14:textId="77777777" w:rsidR="009127D6" w:rsidRDefault="009127D6" w:rsidP="00327130"/>
    <w:p w14:paraId="5DC55F33" w14:textId="399CE251" w:rsidR="00B96480" w:rsidRPr="005E3661" w:rsidRDefault="00327130" w:rsidP="00327130">
      <w:pPr>
        <w:pStyle w:val="Heading1"/>
      </w:pPr>
      <w:r w:rsidRPr="004817A0">
        <w:t>Critical Accounting Policies and Estimates</w:t>
      </w:r>
    </w:p>
    <w:p w14:paraId="54CC4AB0" w14:textId="77777777" w:rsidR="00BE1DF8" w:rsidRPr="005E3661" w:rsidRDefault="00BE1DF8" w:rsidP="00B8542F"/>
    <w:p w14:paraId="0BDE4D49" w14:textId="77777777" w:rsidR="00AA29AE" w:rsidRDefault="00AA29AE" w:rsidP="00AA29AE">
      <w:bookmarkStart w:id="3" w:name="_Hlk6490257"/>
      <w:r>
        <w:t>The preparation of the Company’s consolidated financial statements in conformity with IFRS requires management to make estimates based on assumptions about future events that affect the reported amounts of assets and liabilities and disclosures of contingent assets and liabilities at the date of the financial statements and the reported amounts of revenues and expenses during the reporting period.</w:t>
      </w:r>
    </w:p>
    <w:p w14:paraId="6A479BB8" w14:textId="77777777" w:rsidR="00AA29AE" w:rsidRDefault="00AA29AE" w:rsidP="00AA29AE"/>
    <w:p w14:paraId="582DD682" w14:textId="77777777" w:rsidR="00AA29AE" w:rsidRDefault="00AA29AE" w:rsidP="00AA29AE">
      <w:r>
        <w:t xml:space="preserve">The estimates and associated assumptions are based on historical experience and various other factors that are believed to be reasonable under the circumstances, the results of which form the basis of making the judgements about carrying values of assets and liabilities that are not readily apparent from other sources. Actual results could differ from those estimates. </w:t>
      </w:r>
    </w:p>
    <w:p w14:paraId="718B0BF2" w14:textId="77777777" w:rsidR="00AA29AE" w:rsidRDefault="00AA29AE" w:rsidP="00AA29AE"/>
    <w:p w14:paraId="7E563121" w14:textId="77777777" w:rsidR="00AA29AE" w:rsidRDefault="00AA29AE" w:rsidP="00AA29AE">
      <w:r>
        <w:t>The estimates and underlying assumptions are reviewed on an ongoing basis. Revisions to accounting estimates are recognized prospectively in the period in which the estimate is revised. Management has made the following critical judgements and estimates:</w:t>
      </w:r>
    </w:p>
    <w:p w14:paraId="4BA7C6AF" w14:textId="77777777" w:rsidR="00AA29AE" w:rsidRDefault="00AA29AE" w:rsidP="00AA29AE"/>
    <w:p w14:paraId="7E7DFF9D" w14:textId="0D7F475F" w:rsidR="00AA29AE" w:rsidRDefault="00AA29AE" w:rsidP="00AA29AE">
      <w:r>
        <w:t>Management considers the policies described in note 3 of the annual consolidated financial statements for the years ended December 31, 202</w:t>
      </w:r>
      <w:r w:rsidR="00D8189B">
        <w:t>1</w:t>
      </w:r>
      <w:r>
        <w:t>, 20</w:t>
      </w:r>
      <w:r w:rsidR="00D8189B">
        <w:t>20</w:t>
      </w:r>
      <w:r>
        <w:t xml:space="preserve"> and 201</w:t>
      </w:r>
      <w:r w:rsidR="00D8189B">
        <w:t>9</w:t>
      </w:r>
      <w:r w:rsidR="00097392">
        <w:t xml:space="preserve"> </w:t>
      </w:r>
      <w:r>
        <w:t xml:space="preserve">to be the most critical in understanding the judgements that are involved in the preparation of the Company’s consolidated financial statements and the uncertainties that could impact its results of operations, financial condition, and cash flows. </w:t>
      </w:r>
    </w:p>
    <w:p w14:paraId="5F0BC549" w14:textId="05778478" w:rsidR="00D27414" w:rsidRDefault="00D27414" w:rsidP="00077DA5">
      <w:pPr>
        <w:tabs>
          <w:tab w:val="left" w:pos="450"/>
        </w:tabs>
        <w:rPr>
          <w:rFonts w:eastAsiaTheme="minorEastAsia"/>
          <w:color w:val="000000" w:themeColor="text1"/>
          <w:shd w:val="clear" w:color="auto" w:fill="FFFFFF"/>
          <w:lang w:eastAsia="en-CA"/>
        </w:rPr>
      </w:pPr>
    </w:p>
    <w:p w14:paraId="55219CB3" w14:textId="77777777" w:rsidR="00AE47CF" w:rsidRPr="00515543" w:rsidRDefault="00AE47CF" w:rsidP="00077DA5">
      <w:pPr>
        <w:tabs>
          <w:tab w:val="left" w:pos="450"/>
        </w:tabs>
        <w:rPr>
          <w:rFonts w:eastAsiaTheme="minorEastAsia"/>
          <w:color w:val="000000" w:themeColor="text1"/>
          <w:shd w:val="clear" w:color="auto" w:fill="FFFFFF"/>
          <w:lang w:eastAsia="en-CA"/>
        </w:rPr>
      </w:pPr>
    </w:p>
    <w:bookmarkEnd w:id="3"/>
    <w:p w14:paraId="544F4BA9" w14:textId="77777777" w:rsidR="00AA1F63" w:rsidRDefault="00AA1F63">
      <w:pPr>
        <w:spacing w:after="160" w:line="259" w:lineRule="auto"/>
        <w:jc w:val="left"/>
        <w:rPr>
          <w:b/>
          <w:sz w:val="24"/>
          <w:szCs w:val="24"/>
          <w:lang w:val="en-US"/>
        </w:rPr>
      </w:pPr>
      <w:r>
        <w:br w:type="page"/>
      </w:r>
    </w:p>
    <w:p w14:paraId="223B65A2" w14:textId="1824BC0F" w:rsidR="00B96480" w:rsidRPr="005E3661" w:rsidRDefault="00D459E1" w:rsidP="00077DA5">
      <w:pPr>
        <w:pStyle w:val="Heading1"/>
      </w:pPr>
      <w:r w:rsidRPr="005E3661">
        <w:lastRenderedPageBreak/>
        <w:t xml:space="preserve">Changes </w:t>
      </w:r>
      <w:r>
        <w:t>i</w:t>
      </w:r>
      <w:r w:rsidRPr="005E3661">
        <w:t>n Accounting Standards</w:t>
      </w:r>
    </w:p>
    <w:p w14:paraId="1F3DB6C6" w14:textId="77777777" w:rsidR="00BE1DF8" w:rsidRPr="005E3661" w:rsidRDefault="00BE1DF8" w:rsidP="00077DA5"/>
    <w:p w14:paraId="3077D181" w14:textId="2A9B4337" w:rsidR="00704473" w:rsidRPr="00C503A3" w:rsidRDefault="00704473" w:rsidP="00704473">
      <w:pPr>
        <w:tabs>
          <w:tab w:val="left" w:pos="450"/>
        </w:tabs>
      </w:pPr>
      <w:r w:rsidRPr="00C503A3">
        <w:t xml:space="preserve">The accounting policies applied in the preparation of the Company’s condensed interim consolidated financial statements for the three months ended </w:t>
      </w:r>
      <w:r>
        <w:t>March 31</w:t>
      </w:r>
      <w:r w:rsidRPr="00C503A3">
        <w:t xml:space="preserve">, </w:t>
      </w:r>
      <w:proofErr w:type="gramStart"/>
      <w:r w:rsidRPr="00C503A3">
        <w:t>202</w:t>
      </w:r>
      <w:r>
        <w:t>2</w:t>
      </w:r>
      <w:proofErr w:type="gramEnd"/>
      <w:r w:rsidRPr="00C503A3">
        <w:t xml:space="preserve"> and </w:t>
      </w:r>
      <w:r>
        <w:t>2021</w:t>
      </w:r>
      <w:r w:rsidRPr="00C503A3">
        <w:t>, are consistent with those applied and disclosed in note 3 to the Company’s annual consolidated financial statements</w:t>
      </w:r>
      <w:r>
        <w:t xml:space="preserve"> for the years ended December 31, 2021, 2020 and 2019</w:t>
      </w:r>
      <w:r w:rsidRPr="00C503A3">
        <w:t>.</w:t>
      </w:r>
    </w:p>
    <w:p w14:paraId="00A30072" w14:textId="017679F2" w:rsidR="000E5C02" w:rsidRPr="005E3661" w:rsidRDefault="00D459E1" w:rsidP="00077DA5">
      <w:pPr>
        <w:pStyle w:val="Heading1"/>
      </w:pPr>
      <w:r w:rsidRPr="005E3661">
        <w:t xml:space="preserve">Outstanding </w:t>
      </w:r>
      <w:r w:rsidR="00211362">
        <w:t>Share</w:t>
      </w:r>
      <w:r w:rsidRPr="005E3661">
        <w:t xml:space="preserve"> Data</w:t>
      </w:r>
    </w:p>
    <w:p w14:paraId="0854B44A" w14:textId="77777777" w:rsidR="000E5C02" w:rsidRPr="005E3661" w:rsidRDefault="000E5C02" w:rsidP="00077DA5"/>
    <w:p w14:paraId="252021F6" w14:textId="2523076B" w:rsidR="006F5FB2" w:rsidRPr="005E3661" w:rsidRDefault="00FA6D64" w:rsidP="00077DA5">
      <w:r w:rsidRPr="005E3661">
        <w:t xml:space="preserve">The authorized capital of the Company consists of an unlimited number of common </w:t>
      </w:r>
      <w:r w:rsidR="00211362">
        <w:t>share</w:t>
      </w:r>
      <w:r w:rsidRPr="005E3661">
        <w:t xml:space="preserve">s without par value. </w:t>
      </w:r>
      <w:r w:rsidR="006F5FB2" w:rsidRPr="005E3661">
        <w:t xml:space="preserve">The Company had the following securities outstanding as </w:t>
      </w:r>
      <w:r w:rsidR="000E5C02" w:rsidRPr="005E3661">
        <w:t>at the date of this MD&amp;A</w:t>
      </w:r>
      <w:r w:rsidR="006F5FB2" w:rsidRPr="005E3661">
        <w:t>:</w:t>
      </w:r>
    </w:p>
    <w:p w14:paraId="47F2A9D1" w14:textId="77777777" w:rsidR="00E90759" w:rsidRPr="005E3661" w:rsidRDefault="00E90759" w:rsidP="00B8542F"/>
    <w:tbl>
      <w:tblPr>
        <w:tblStyle w:val="TableGrid"/>
        <w:tblW w:w="9355" w:type="dxa"/>
        <w:tblLook w:val="04A0" w:firstRow="1" w:lastRow="0" w:firstColumn="1" w:lastColumn="0" w:noHBand="0" w:noVBand="1"/>
      </w:tblPr>
      <w:tblGrid>
        <w:gridCol w:w="4765"/>
        <w:gridCol w:w="4590"/>
      </w:tblGrid>
      <w:tr w:rsidR="006F5FB2" w:rsidRPr="005E3661" w14:paraId="3275D449" w14:textId="77777777" w:rsidTr="00170494">
        <w:tc>
          <w:tcPr>
            <w:tcW w:w="4765" w:type="dxa"/>
            <w:tcBorders>
              <w:top w:val="single" w:sz="4" w:space="0" w:color="auto"/>
              <w:left w:val="nil"/>
              <w:bottom w:val="single" w:sz="12" w:space="0" w:color="auto"/>
              <w:right w:val="nil"/>
            </w:tcBorders>
            <w:shd w:val="clear" w:color="auto" w:fill="auto"/>
          </w:tcPr>
          <w:p w14:paraId="56395CB9" w14:textId="77777777" w:rsidR="006F5FB2" w:rsidRPr="00E718C7" w:rsidRDefault="006F5FB2" w:rsidP="00B8542F">
            <w:pPr>
              <w:rPr>
                <w:b/>
                <w:bCs/>
                <w:highlight w:val="yellow"/>
              </w:rPr>
            </w:pPr>
            <w:r w:rsidRPr="00E718C7">
              <w:rPr>
                <w:b/>
                <w:bCs/>
              </w:rPr>
              <w:t>Type of Security</w:t>
            </w:r>
          </w:p>
        </w:tc>
        <w:tc>
          <w:tcPr>
            <w:tcW w:w="4590" w:type="dxa"/>
            <w:tcBorders>
              <w:top w:val="single" w:sz="4" w:space="0" w:color="auto"/>
              <w:left w:val="nil"/>
              <w:bottom w:val="single" w:sz="12" w:space="0" w:color="auto"/>
              <w:right w:val="nil"/>
            </w:tcBorders>
            <w:shd w:val="clear" w:color="auto" w:fill="auto"/>
            <w:vAlign w:val="bottom"/>
          </w:tcPr>
          <w:p w14:paraId="71A718F8" w14:textId="77777777" w:rsidR="006F5FB2" w:rsidRPr="00E718C7" w:rsidRDefault="006F5FB2" w:rsidP="00D459E1">
            <w:pPr>
              <w:jc w:val="right"/>
              <w:rPr>
                <w:b/>
                <w:bCs/>
              </w:rPr>
            </w:pPr>
            <w:r w:rsidRPr="00E718C7">
              <w:rPr>
                <w:b/>
                <w:bCs/>
              </w:rPr>
              <w:t>Number Outstanding</w:t>
            </w:r>
          </w:p>
        </w:tc>
      </w:tr>
      <w:tr w:rsidR="008834F5" w:rsidRPr="005E3661" w14:paraId="172B7152" w14:textId="77777777" w:rsidTr="00170494">
        <w:tc>
          <w:tcPr>
            <w:tcW w:w="4765" w:type="dxa"/>
            <w:tcBorders>
              <w:top w:val="single" w:sz="12" w:space="0" w:color="auto"/>
              <w:left w:val="nil"/>
              <w:bottom w:val="nil"/>
              <w:right w:val="nil"/>
            </w:tcBorders>
            <w:vAlign w:val="bottom"/>
          </w:tcPr>
          <w:p w14:paraId="6D5DC776" w14:textId="76EA09D2" w:rsidR="008834F5" w:rsidRPr="005E3661" w:rsidRDefault="008834F5" w:rsidP="008834F5">
            <w:r w:rsidRPr="005E3661">
              <w:t xml:space="preserve">Common </w:t>
            </w:r>
            <w:r>
              <w:t>Share</w:t>
            </w:r>
            <w:r w:rsidRPr="005E3661">
              <w:t>s</w:t>
            </w:r>
          </w:p>
        </w:tc>
        <w:tc>
          <w:tcPr>
            <w:tcW w:w="4590" w:type="dxa"/>
            <w:tcBorders>
              <w:top w:val="single" w:sz="12" w:space="0" w:color="auto"/>
              <w:left w:val="nil"/>
              <w:bottom w:val="nil"/>
              <w:right w:val="nil"/>
            </w:tcBorders>
            <w:vAlign w:val="center"/>
          </w:tcPr>
          <w:p w14:paraId="41B9FCFE" w14:textId="0263C512" w:rsidR="008834F5" w:rsidRPr="00075786" w:rsidRDefault="008834F5" w:rsidP="008834F5">
            <w:pPr>
              <w:jc w:val="right"/>
              <w:rPr>
                <w:highlight w:val="yellow"/>
              </w:rPr>
            </w:pPr>
            <w:r w:rsidRPr="007D6B56">
              <w:rPr>
                <w:color w:val="000000"/>
              </w:rPr>
              <w:t>348,508,658</w:t>
            </w:r>
          </w:p>
        </w:tc>
      </w:tr>
      <w:tr w:rsidR="008834F5" w:rsidRPr="00F0598A" w14:paraId="21202544" w14:textId="77777777" w:rsidTr="00D62BDB">
        <w:tc>
          <w:tcPr>
            <w:tcW w:w="4765" w:type="dxa"/>
            <w:tcBorders>
              <w:top w:val="nil"/>
              <w:left w:val="nil"/>
              <w:bottom w:val="nil"/>
              <w:right w:val="nil"/>
            </w:tcBorders>
            <w:vAlign w:val="bottom"/>
          </w:tcPr>
          <w:p w14:paraId="78A7107B" w14:textId="77777777" w:rsidR="008834F5" w:rsidRPr="005E3661" w:rsidRDefault="008834F5" w:rsidP="008834F5">
            <w:r w:rsidRPr="005E3661">
              <w:t>Stock Options</w:t>
            </w:r>
          </w:p>
        </w:tc>
        <w:tc>
          <w:tcPr>
            <w:tcW w:w="4590" w:type="dxa"/>
            <w:tcBorders>
              <w:top w:val="nil"/>
              <w:left w:val="nil"/>
              <w:bottom w:val="nil"/>
              <w:right w:val="nil"/>
            </w:tcBorders>
            <w:vAlign w:val="center"/>
          </w:tcPr>
          <w:p w14:paraId="3C3039A4" w14:textId="3EBDCD0A" w:rsidR="008834F5" w:rsidRPr="006D768B" w:rsidRDefault="008834F5" w:rsidP="008834F5">
            <w:pPr>
              <w:jc w:val="right"/>
            </w:pPr>
            <w:r w:rsidRPr="006D768B">
              <w:t>7,249,459</w:t>
            </w:r>
          </w:p>
        </w:tc>
      </w:tr>
      <w:tr w:rsidR="008834F5" w:rsidRPr="005E3661" w14:paraId="6E9BBA6F" w14:textId="77777777" w:rsidTr="00170494">
        <w:tc>
          <w:tcPr>
            <w:tcW w:w="4765" w:type="dxa"/>
            <w:tcBorders>
              <w:top w:val="nil"/>
              <w:left w:val="nil"/>
              <w:bottom w:val="single" w:sz="12" w:space="0" w:color="auto"/>
              <w:right w:val="nil"/>
            </w:tcBorders>
            <w:vAlign w:val="bottom"/>
          </w:tcPr>
          <w:p w14:paraId="20296D14" w14:textId="4E954478" w:rsidR="008834F5" w:rsidRPr="005E3661" w:rsidRDefault="008834F5" w:rsidP="008834F5">
            <w:r w:rsidRPr="005E3661">
              <w:t>Warrants</w:t>
            </w:r>
          </w:p>
        </w:tc>
        <w:tc>
          <w:tcPr>
            <w:tcW w:w="4590" w:type="dxa"/>
            <w:tcBorders>
              <w:top w:val="nil"/>
              <w:left w:val="nil"/>
              <w:bottom w:val="single" w:sz="12" w:space="0" w:color="auto"/>
              <w:right w:val="nil"/>
            </w:tcBorders>
            <w:vAlign w:val="center"/>
          </w:tcPr>
          <w:p w14:paraId="704A5495" w14:textId="65776E4F" w:rsidR="008834F5" w:rsidRPr="006D768B" w:rsidRDefault="008834F5" w:rsidP="008834F5">
            <w:pPr>
              <w:jc w:val="right"/>
            </w:pPr>
            <w:r w:rsidRPr="006D768B">
              <w:rPr>
                <w:color w:val="000000"/>
              </w:rPr>
              <w:t>3</w:t>
            </w:r>
            <w:r>
              <w:rPr>
                <w:color w:val="000000"/>
              </w:rPr>
              <w:t>4</w:t>
            </w:r>
            <w:r w:rsidRPr="006D768B">
              <w:rPr>
                <w:color w:val="000000"/>
              </w:rPr>
              <w:t>,</w:t>
            </w:r>
            <w:r>
              <w:rPr>
                <w:color w:val="000000"/>
              </w:rPr>
              <w:t>377</w:t>
            </w:r>
            <w:r w:rsidRPr="006D768B">
              <w:rPr>
                <w:color w:val="000000"/>
              </w:rPr>
              <w:t>,500</w:t>
            </w:r>
          </w:p>
        </w:tc>
      </w:tr>
    </w:tbl>
    <w:p w14:paraId="7E3BD1AF" w14:textId="4FC15058" w:rsidR="00B50812" w:rsidRDefault="00B50812" w:rsidP="00B50812"/>
    <w:p w14:paraId="46340FC4" w14:textId="77777777" w:rsidR="00B50812" w:rsidRPr="00B50812" w:rsidRDefault="00B50812" w:rsidP="00B50812"/>
    <w:p w14:paraId="1F54D4B5" w14:textId="1C121EFF" w:rsidR="00A6539B" w:rsidRPr="006D768B" w:rsidRDefault="00D459E1" w:rsidP="00D459E1">
      <w:pPr>
        <w:pStyle w:val="Heading1"/>
      </w:pPr>
      <w:r w:rsidRPr="006D768B">
        <w:t xml:space="preserve">Risks </w:t>
      </w:r>
      <w:r w:rsidR="005D3BD4">
        <w:t>a</w:t>
      </w:r>
      <w:r w:rsidRPr="006D768B">
        <w:t xml:space="preserve">nd Uncertainties </w:t>
      </w:r>
    </w:p>
    <w:p w14:paraId="6CDE25E4" w14:textId="77777777" w:rsidR="00D459E1" w:rsidRPr="006D768B" w:rsidRDefault="00D459E1" w:rsidP="00D459E1">
      <w:pPr>
        <w:rPr>
          <w:rFonts w:eastAsiaTheme="minorHAnsi"/>
          <w:lang w:val="en-US"/>
        </w:rPr>
      </w:pPr>
    </w:p>
    <w:p w14:paraId="142D5173" w14:textId="5FABE7FC" w:rsidR="00AA29AE" w:rsidRDefault="00AA29AE" w:rsidP="00AA29AE">
      <w:r>
        <w:t>For a detailed listing of the risk factors faced by the Company, please refer to the Company’s MD&amp;A for the year</w:t>
      </w:r>
      <w:r w:rsidR="00E05928">
        <w:t>s</w:t>
      </w:r>
      <w:r>
        <w:t xml:space="preserve"> ended December 31, 202</w:t>
      </w:r>
      <w:r w:rsidR="00E05928">
        <w:t>1</w:t>
      </w:r>
      <w:r>
        <w:t>, 20</w:t>
      </w:r>
      <w:r w:rsidR="00E05928">
        <w:t>20</w:t>
      </w:r>
      <w:r>
        <w:t xml:space="preserve"> and 20</w:t>
      </w:r>
      <w:r w:rsidR="00E05928">
        <w:t>21</w:t>
      </w:r>
      <w:r w:rsidR="00614774">
        <w:t>.</w:t>
      </w:r>
      <w:r>
        <w:t xml:space="preserve"> </w:t>
      </w:r>
    </w:p>
    <w:p w14:paraId="58802F0A" w14:textId="304B29C6" w:rsidR="00AE47CF" w:rsidRDefault="00AE47CF" w:rsidP="00AE47CF">
      <w:pPr>
        <w:spacing w:line="259" w:lineRule="auto"/>
        <w:jc w:val="left"/>
      </w:pPr>
    </w:p>
    <w:p w14:paraId="4E8E70B0" w14:textId="77777777" w:rsidR="00B50812" w:rsidRPr="00E42597" w:rsidRDefault="00B50812" w:rsidP="00AE47CF">
      <w:pPr>
        <w:spacing w:line="259" w:lineRule="auto"/>
        <w:jc w:val="left"/>
      </w:pPr>
    </w:p>
    <w:p w14:paraId="7001725C" w14:textId="1B1B51E1" w:rsidR="0056212D" w:rsidRPr="005E3661" w:rsidRDefault="00D459E1" w:rsidP="00327130">
      <w:pPr>
        <w:pStyle w:val="Heading1"/>
      </w:pPr>
      <w:r w:rsidRPr="005E3661">
        <w:t xml:space="preserve">Financial Instruments </w:t>
      </w:r>
      <w:r>
        <w:t>a</w:t>
      </w:r>
      <w:r w:rsidRPr="005E3661">
        <w:t>nd Other Instruments</w:t>
      </w:r>
    </w:p>
    <w:p w14:paraId="7B16F47E" w14:textId="77777777" w:rsidR="0056212D" w:rsidRPr="005E3661" w:rsidRDefault="0056212D" w:rsidP="00D459E1"/>
    <w:p w14:paraId="32D0F4FB" w14:textId="4F8A5546" w:rsidR="001971FD" w:rsidRDefault="004818DC" w:rsidP="00C2618E">
      <w:r w:rsidRPr="005E3661">
        <w:t xml:space="preserve">The Company’s financial instruments consist of cash, </w:t>
      </w:r>
      <w:r w:rsidR="000B5C92">
        <w:t xml:space="preserve">accounts receivable, </w:t>
      </w:r>
      <w:r w:rsidRPr="005E3661">
        <w:t>accounts payable and accrued liabilities</w:t>
      </w:r>
      <w:r w:rsidR="00A5191B">
        <w:t>,</w:t>
      </w:r>
      <w:r w:rsidRPr="005E3661">
        <w:t xml:space="preserve"> </w:t>
      </w:r>
      <w:r w:rsidR="000C7775">
        <w:t>consideration payable</w:t>
      </w:r>
      <w:r w:rsidRPr="005E3661">
        <w:t xml:space="preserve">, </w:t>
      </w:r>
      <w:r w:rsidR="000C7775">
        <w:t>notes payable</w:t>
      </w:r>
      <w:r w:rsidR="00746EEC">
        <w:t xml:space="preserve">, </w:t>
      </w:r>
      <w:r w:rsidRPr="005E3661">
        <w:t>loans payable</w:t>
      </w:r>
      <w:r w:rsidR="00746EEC">
        <w:t>, convertible debentures, and conversion features associated with convertible debentures</w:t>
      </w:r>
      <w:r w:rsidRPr="005E3661">
        <w:t>. Cash</w:t>
      </w:r>
      <w:r w:rsidR="00C2618E">
        <w:t xml:space="preserve">, </w:t>
      </w:r>
      <w:r w:rsidR="00594EBE">
        <w:t>restricted cash</w:t>
      </w:r>
      <w:r w:rsidR="00C2618E">
        <w:t>, and conversion feature</w:t>
      </w:r>
      <w:r w:rsidR="00594EBE">
        <w:t xml:space="preserve"> are</w:t>
      </w:r>
      <w:r w:rsidRPr="005E3661">
        <w:t xml:space="preserve"> classified as fair value through profit or loss and recorded at fair value.</w:t>
      </w:r>
      <w:r w:rsidR="001971FD">
        <w:t xml:space="preserve"> </w:t>
      </w:r>
      <w:r w:rsidR="00C2618E">
        <w:t>The remaining items</w:t>
      </w:r>
      <w:r w:rsidR="00BD5796">
        <w:t xml:space="preserve"> </w:t>
      </w:r>
      <w:r w:rsidRPr="005E3661">
        <w:t xml:space="preserve">are </w:t>
      </w:r>
      <w:r w:rsidR="001971FD">
        <w:t>measured</w:t>
      </w:r>
      <w:r w:rsidRPr="005E3661">
        <w:t xml:space="preserve"> a</w:t>
      </w:r>
      <w:r w:rsidR="001971FD">
        <w:t>t</w:t>
      </w:r>
      <w:r w:rsidRPr="005E3661">
        <w:t xml:space="preserve"> </w:t>
      </w:r>
      <w:r w:rsidR="00BD5796">
        <w:t>amortized cost</w:t>
      </w:r>
      <w:r w:rsidR="00802067">
        <w:t>.</w:t>
      </w:r>
      <w:r w:rsidRPr="005E3661">
        <w:t xml:space="preserve"> </w:t>
      </w:r>
      <w:r w:rsidR="00802067">
        <w:t>T</w:t>
      </w:r>
      <w:r w:rsidRPr="005E3661">
        <w:t>he fair value</w:t>
      </w:r>
      <w:r w:rsidR="00BC2699">
        <w:t>s</w:t>
      </w:r>
      <w:r w:rsidRPr="005E3661">
        <w:t xml:space="preserve"> of cash, </w:t>
      </w:r>
      <w:r w:rsidR="00BC2699">
        <w:t xml:space="preserve">restricted cash, accounts receivable, </w:t>
      </w:r>
      <w:r w:rsidRPr="005E3661">
        <w:t>accounts payable and accrued liabilities</w:t>
      </w:r>
      <w:r w:rsidR="00BC2699">
        <w:t xml:space="preserve"> </w:t>
      </w:r>
      <w:r w:rsidRPr="005E3661">
        <w:t>are equal to their carrying value</w:t>
      </w:r>
      <w:r w:rsidR="00BC2699">
        <w:t>s</w:t>
      </w:r>
      <w:r w:rsidRPr="005E3661">
        <w:t xml:space="preserve"> due to their short-term maturity. Unless otherwise noted, it is management’s opinion that the Company is not exposed to significant interest, currency or credit risks arising from these financial instruments. The fair value of arms-length financial instruments approximates their carrying value due to the relatively short</w:t>
      </w:r>
      <w:r w:rsidR="00B176E7" w:rsidRPr="005E3661">
        <w:t xml:space="preserve"> </w:t>
      </w:r>
      <w:r w:rsidRPr="005E3661">
        <w:t xml:space="preserve">term to maturity. </w:t>
      </w:r>
    </w:p>
    <w:p w14:paraId="6592C421" w14:textId="2FB8C08D" w:rsidR="00594EBE" w:rsidRDefault="00594EBE" w:rsidP="00AE47CF"/>
    <w:p w14:paraId="5DBFADDF" w14:textId="77777777" w:rsidR="00AE47CF" w:rsidRDefault="00AE47CF" w:rsidP="00AE47CF"/>
    <w:p w14:paraId="31552F5E" w14:textId="6C8AF6EE" w:rsidR="00C00F4C" w:rsidRPr="005E3661" w:rsidRDefault="00D459E1" w:rsidP="00327130">
      <w:pPr>
        <w:pStyle w:val="Heading1"/>
      </w:pPr>
      <w:r w:rsidRPr="005E3661">
        <w:t xml:space="preserve">Cautionary Note Regarding </w:t>
      </w:r>
      <w:r w:rsidR="000829F0">
        <w:t>Forward-Looking</w:t>
      </w:r>
      <w:r w:rsidRPr="005E3661">
        <w:t xml:space="preserve"> Statements </w:t>
      </w:r>
    </w:p>
    <w:p w14:paraId="2C06F61A" w14:textId="77777777" w:rsidR="00C00F4C" w:rsidRPr="005E3661" w:rsidRDefault="00C00F4C" w:rsidP="00D459E1"/>
    <w:p w14:paraId="6B85C50C" w14:textId="77777777" w:rsidR="007031CD" w:rsidRDefault="007031CD" w:rsidP="007031CD">
      <w:pPr>
        <w:pStyle w:val="BodyText0"/>
      </w:pPr>
      <w:r>
        <w:t xml:space="preserve">Certain statements in this MD&amp;A, other than statements of historical fact, constitute forward-looking statements and forward-looking information within the meaning of applicable securities laws (collectively "forward-looking statements"). Forward-looking statements are based upon </w:t>
      </w:r>
      <w:proofErr w:type="spellStart"/>
      <w:r>
        <w:t>Empower’s</w:t>
      </w:r>
      <w:proofErr w:type="spellEnd"/>
      <w:r>
        <w:t xml:space="preserve"> and its management’s current internal expectations, estimates, projections, assumptions and beliefs. In some cases, words such as “plan”, “expect”, “intend”, “believe”, “anticipate”, “estimate”, “may”, “will”, “potential”, “proposed” and other similar words, or statements that certain events or conditions “may” or “will” occur, are intended to identify forward-looking statements. Forward-looking statements are provided for the purposes of assisting the reader in understanding management’s current expectations and plans relating to the future based on current assumptions, and readers are cautioned that such statements may not be appropriate for other purposes. </w:t>
      </w:r>
    </w:p>
    <w:p w14:paraId="2A40D622" w14:textId="011685CA" w:rsidR="0089037F" w:rsidRDefault="007031CD" w:rsidP="00AA1F63">
      <w:pPr>
        <w:pStyle w:val="BodyText0"/>
      </w:pPr>
      <w:r>
        <w:t>The forward-looking statements in this MD&amp;A include statements with respect to: (</w:t>
      </w:r>
      <w:proofErr w:type="spellStart"/>
      <w:r>
        <w:t>i</w:t>
      </w:r>
      <w:proofErr w:type="spellEnd"/>
      <w:r>
        <w:t>) the Company’s future business and development prospects and strategies, including the ongoing potential impact, both positive and negative, of the COVID-19 pandemic on the Company's operations; (ii) the expected number, and timing of the opening of, new medical clinics; (iii) the Company’s expectations regarding revenues, expenses and anticipated cash needs; (iv) the expected methods to be used by the Company to distribute and sell its medical devices, and offer its vaccination and laboratory testing services; (v) the expected growth in the number of purchasers of the Company's medical devices, and users of the Company's vaccination and laboratory testing services; (vi) the Company’s proposed operations in Canada and the United States; (vii) laws and regulations applicable to the Company, and the impact thereof; (viii) competitive conditions in the medical and health and wellness sectors; (ix) the grant, renewal and impact of any licenses required to conduct the Company's activities; and (x) the expected benefits to the Company of the Company's recent and proposed acquisitions.</w:t>
      </w:r>
      <w:r w:rsidR="0089037F">
        <w:br w:type="page"/>
      </w:r>
    </w:p>
    <w:p w14:paraId="46CE027A" w14:textId="3D456502" w:rsidR="007031CD" w:rsidRDefault="007031CD" w:rsidP="007031CD">
      <w:pPr>
        <w:pStyle w:val="BodyText0"/>
      </w:pPr>
      <w:r>
        <w:lastRenderedPageBreak/>
        <w:t>The Company has made certain assumptions with respect to the forward-looking statements regarding, among other things: (</w:t>
      </w:r>
      <w:proofErr w:type="spellStart"/>
      <w:r>
        <w:t>i</w:t>
      </w:r>
      <w:proofErr w:type="spellEnd"/>
      <w:r>
        <w:t>) the Company’s ability to generate sufficient cash flow from operations and obtain financing, if needed, on acceptable terms or at all; (ii) general economic, financial market, regulatory and political conditions in which the Company operates; (iii) the ability of the Company to ship its products and maintain supply chain stability; (iv) consumer interest in the Company’s products and services; (v) anticipated and unanticipated costs of providing services; (v) government regulation of the Company’s activities; (vi) the timely receipt and maintenance of any required regulatory approvals; (vii) the Company’s ability to obtain qualified staff, equipment and services in a timely and cost efficient manner; (viii) the Company’s ability to conduct operations in a safe, efficient and effective manner; and (x) the Company’s expansion plans and timeframe for completion of such plans.</w:t>
      </w:r>
    </w:p>
    <w:p w14:paraId="6841DC15" w14:textId="299FA6C8" w:rsidR="007031CD" w:rsidRDefault="007031CD" w:rsidP="007031CD">
      <w:pPr>
        <w:pStyle w:val="BodyText0"/>
      </w:pPr>
      <w:r>
        <w:t>Forward-looking statements are not guarantees of future performance and involve known and unknown risks, uncertainties and other factors that may cause actual results or events to differ materially from those anticipated in the forward-looking statements. Undue reliance should not be placed on forward-looking statements, as there can be no assurance that the plans, intentions or expectations upon which they are based will occur. The actual results or performance of the Company could differ materially from those anticipated in the forward-looking statements as a result of the risk factors set forth below and under the heading “Risk and Uncertainties”, including risks related to: the impact of regulatory oversight and changes on the Company's business; the Company's ability to maintain supply chain stability; the duration and severity of impact of the COVID-19 pandemic; the Company's ability to successfully negotiate third party agreements; continued or further volatility in and/or degradation of general economic, market, industry or business conditions related to COVID-19 or otherwise; changes in applicable legislation and regulatory requirements; product liability; recalls; uninsured and uninsurable events; reliance on third party transportation; cyber security and privacy; future levels of revenues; consumer demand for the Company's products; the Company’s ability to manage disruptions in the financial markets or obtain credit, if needed; future levels of capital; expected expenditures; the success or timing of completion of ongoing or anticipated capital projects; the adequacy of the Company’s capital resources and liquidity, including availability of sufficient cash flow to execute the Company’s business plan (either within the expected timeframe or at all); potential actions of third parties; and other factors beyond the Company’s control.</w:t>
      </w:r>
    </w:p>
    <w:p w14:paraId="41A502B2" w14:textId="77777777" w:rsidR="007031CD" w:rsidRDefault="007031CD" w:rsidP="007031CD">
      <w:pPr>
        <w:pStyle w:val="BodyText0"/>
      </w:pPr>
      <w:r>
        <w:t xml:space="preserve">Readers are cautioned that these factors are difficult to predict and that the assumptions used in developing the forward-looking statements may prove to be incorrect. Readers are also cautioned that the list of risk factors contained in this MD&amp;A is not exhaustive. Accordingly, readers are cautioned that the Company’s actual results may vary from the forward-looking statements, and the variations may be material. </w:t>
      </w:r>
    </w:p>
    <w:p w14:paraId="7265442C" w14:textId="78E62EDC" w:rsidR="007031CD" w:rsidRDefault="007031CD" w:rsidP="007031CD">
      <w:pPr>
        <w:pStyle w:val="BodyText0"/>
      </w:pPr>
      <w:r>
        <w:t>Although the Company believes that the expectations reflected in the forward</w:t>
      </w:r>
      <w:r>
        <w:rPr>
          <w:rFonts w:ascii="Cambria Math" w:hAnsi="Cambria Math" w:cs="Cambria Math"/>
        </w:rPr>
        <w:t>‐</w:t>
      </w:r>
      <w:r>
        <w:t>looking statements are reasonable, it can give no assurance that such expectations will prove to be correct, and the forward</w:t>
      </w:r>
      <w:r>
        <w:rPr>
          <w:rFonts w:ascii="Cambria Math" w:hAnsi="Cambria Math" w:cs="Cambria Math"/>
        </w:rPr>
        <w:t>‐</w:t>
      </w:r>
      <w:r>
        <w:t>looking statements are expressly qualified in their entirety by this cautionary statement. The purpose of the forward</w:t>
      </w:r>
      <w:r>
        <w:rPr>
          <w:rFonts w:ascii="Cambria Math" w:hAnsi="Cambria Math" w:cs="Cambria Math"/>
        </w:rPr>
        <w:t>‐</w:t>
      </w:r>
      <w:r>
        <w:t>looking statements is to provide the reader with a description of management’s expectations, and the forward</w:t>
      </w:r>
      <w:r>
        <w:rPr>
          <w:rFonts w:ascii="Cambria Math" w:hAnsi="Cambria Math" w:cs="Cambria Math"/>
        </w:rPr>
        <w:t>‐</w:t>
      </w:r>
      <w:r>
        <w:t>looking statements may not be appropriate for any other purpose. The forward-looking statements are made as at the date of this MDA&amp; and the Company undertakes no obligation to update or revise any of the forward</w:t>
      </w:r>
      <w:r>
        <w:rPr>
          <w:rFonts w:ascii="Cambria Math" w:hAnsi="Cambria Math" w:cs="Cambria Math"/>
        </w:rPr>
        <w:t>‐</w:t>
      </w:r>
      <w:r>
        <w:t>looking statements, whether as a result of new information, future events or otherwise, except as required by applicable Canadian securities laws.</w:t>
      </w:r>
    </w:p>
    <w:p w14:paraId="2EE5A103" w14:textId="563530D9" w:rsidR="001F1660" w:rsidRPr="000829F0" w:rsidRDefault="007031CD" w:rsidP="007031CD">
      <w:pPr>
        <w:pStyle w:val="BodyText0"/>
      </w:pPr>
      <w:r>
        <w:t>This MD&amp;A may contain market and industry data and forecasts obtained from third</w:t>
      </w:r>
      <w:r w:rsidR="0061056B">
        <w:t xml:space="preserve"> </w:t>
      </w:r>
      <w:r>
        <w:t>party sources, industry publications and publicly available information. Third</w:t>
      </w:r>
      <w:r w:rsidR="0061056B">
        <w:t xml:space="preserve"> </w:t>
      </w:r>
      <w:r>
        <w:t>party sources generally state that their information has been obtained from sources believed to be reliable, but there can be no assurance as to the accuracy or completeness of such information. Although management believes it to be reliable, the Company has not independently verified any of the data from third</w:t>
      </w:r>
      <w:r w:rsidR="0061056B">
        <w:t xml:space="preserve"> </w:t>
      </w:r>
      <w:r>
        <w:t>party sources referred to in this MD&amp;</w:t>
      </w:r>
      <w:proofErr w:type="gramStart"/>
      <w:r>
        <w:t>A, or</w:t>
      </w:r>
      <w:proofErr w:type="gramEnd"/>
      <w:r>
        <w:t xml:space="preserve"> analyzed or verified the underlying studies or surveys relied upon or referred to by such sources.</w:t>
      </w:r>
    </w:p>
    <w:sectPr w:rsidR="001F1660" w:rsidRPr="000829F0" w:rsidSect="00F0598A">
      <w:headerReference w:type="even" r:id="rId18"/>
      <w:headerReference w:type="default" r:id="rId19"/>
      <w:head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BF28" w14:textId="77777777" w:rsidR="00C0049E" w:rsidRDefault="00C0049E" w:rsidP="00B8542F">
      <w:r>
        <w:separator/>
      </w:r>
    </w:p>
    <w:p w14:paraId="47F6432A" w14:textId="77777777" w:rsidR="00C0049E" w:rsidRDefault="00C0049E" w:rsidP="00B8542F"/>
    <w:p w14:paraId="4D7B6FBC" w14:textId="77777777" w:rsidR="00C0049E" w:rsidRDefault="00C0049E" w:rsidP="00B8542F"/>
    <w:p w14:paraId="137A5218" w14:textId="77777777" w:rsidR="00C0049E" w:rsidRDefault="00C0049E" w:rsidP="00B8542F"/>
    <w:p w14:paraId="56AC318B" w14:textId="77777777" w:rsidR="00C0049E" w:rsidRDefault="00C0049E" w:rsidP="00B8542F"/>
  </w:endnote>
  <w:endnote w:type="continuationSeparator" w:id="0">
    <w:p w14:paraId="3307DE3A" w14:textId="77777777" w:rsidR="00C0049E" w:rsidRDefault="00C0049E" w:rsidP="00B8542F">
      <w:r>
        <w:continuationSeparator/>
      </w:r>
    </w:p>
    <w:p w14:paraId="4FE51496" w14:textId="77777777" w:rsidR="00C0049E" w:rsidRDefault="00C0049E" w:rsidP="00B8542F"/>
    <w:p w14:paraId="22539D34" w14:textId="77777777" w:rsidR="00C0049E" w:rsidRDefault="00C0049E" w:rsidP="00B8542F"/>
    <w:p w14:paraId="7CC29E24" w14:textId="77777777" w:rsidR="00C0049E" w:rsidRDefault="00C0049E" w:rsidP="00B8542F"/>
    <w:p w14:paraId="5139CB81" w14:textId="77777777" w:rsidR="00C0049E" w:rsidRDefault="00C0049E" w:rsidP="00B8542F"/>
  </w:endnote>
  <w:endnote w:type="continuationNotice" w:id="1">
    <w:p w14:paraId="24DA4DD2" w14:textId="77777777" w:rsidR="00C0049E" w:rsidRDefault="00C0049E" w:rsidP="00B8542F"/>
    <w:p w14:paraId="65E83865" w14:textId="77777777" w:rsidR="00C0049E" w:rsidRDefault="00C0049E" w:rsidP="00B8542F"/>
    <w:p w14:paraId="18C862FF" w14:textId="77777777" w:rsidR="00C0049E" w:rsidRDefault="00C0049E" w:rsidP="00B8542F"/>
    <w:p w14:paraId="5A8A7E1E" w14:textId="77777777" w:rsidR="00C0049E" w:rsidRDefault="00C0049E" w:rsidP="00B8542F"/>
    <w:p w14:paraId="0E15288E" w14:textId="77777777" w:rsidR="00C0049E" w:rsidRDefault="00C0049E" w:rsidP="00B85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437782"/>
      <w:docPartObj>
        <w:docPartGallery w:val="Page Numbers (Bottom of Page)"/>
        <w:docPartUnique/>
      </w:docPartObj>
    </w:sdtPr>
    <w:sdtEndPr>
      <w:rPr>
        <w:rFonts w:ascii="Arial" w:hAnsi="Arial" w:cs="Arial"/>
        <w:noProof/>
        <w:sz w:val="18"/>
        <w:szCs w:val="18"/>
      </w:rPr>
    </w:sdtEndPr>
    <w:sdtContent>
      <w:p w14:paraId="5478D6E3" w14:textId="72396387" w:rsidR="005F1579" w:rsidRPr="00F0598A" w:rsidRDefault="005F1579">
        <w:pPr>
          <w:pStyle w:val="Footer"/>
          <w:jc w:val="right"/>
          <w:rPr>
            <w:rFonts w:ascii="Arial" w:hAnsi="Arial" w:cs="Arial"/>
            <w:sz w:val="18"/>
            <w:szCs w:val="18"/>
          </w:rPr>
        </w:pPr>
        <w:r w:rsidRPr="00F0598A">
          <w:rPr>
            <w:rFonts w:ascii="Arial" w:hAnsi="Arial" w:cs="Arial"/>
            <w:sz w:val="18"/>
            <w:szCs w:val="18"/>
          </w:rPr>
          <w:fldChar w:fldCharType="begin"/>
        </w:r>
        <w:r w:rsidRPr="00F0598A">
          <w:rPr>
            <w:rFonts w:ascii="Arial" w:hAnsi="Arial" w:cs="Arial"/>
            <w:sz w:val="18"/>
            <w:szCs w:val="18"/>
          </w:rPr>
          <w:instrText xml:space="preserve"> PAGE   \* MERGEFORMAT </w:instrText>
        </w:r>
        <w:r w:rsidRPr="00F0598A">
          <w:rPr>
            <w:rFonts w:ascii="Arial" w:hAnsi="Arial" w:cs="Arial"/>
            <w:sz w:val="18"/>
            <w:szCs w:val="18"/>
          </w:rPr>
          <w:fldChar w:fldCharType="separate"/>
        </w:r>
        <w:r w:rsidRPr="00F0598A">
          <w:rPr>
            <w:rFonts w:ascii="Arial" w:hAnsi="Arial" w:cs="Arial"/>
            <w:noProof/>
            <w:sz w:val="18"/>
            <w:szCs w:val="18"/>
          </w:rPr>
          <w:t>2</w:t>
        </w:r>
        <w:r w:rsidRPr="00F0598A">
          <w:rPr>
            <w:rFonts w:ascii="Arial" w:hAnsi="Arial" w:cs="Arial"/>
            <w:noProof/>
            <w:sz w:val="18"/>
            <w:szCs w:val="18"/>
          </w:rPr>
          <w:fldChar w:fldCharType="end"/>
        </w:r>
      </w:p>
    </w:sdtContent>
  </w:sdt>
  <w:p w14:paraId="2CA221B6" w14:textId="77777777" w:rsidR="000F3E19" w:rsidRDefault="000F3E19" w:rsidP="00B85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7A61" w14:textId="77777777" w:rsidR="00C0049E" w:rsidRDefault="00C0049E" w:rsidP="00B8542F">
      <w:r>
        <w:separator/>
      </w:r>
    </w:p>
    <w:p w14:paraId="352BAE69" w14:textId="77777777" w:rsidR="00C0049E" w:rsidRDefault="00C0049E" w:rsidP="00B8542F"/>
    <w:p w14:paraId="67CEBD72" w14:textId="77777777" w:rsidR="00C0049E" w:rsidRDefault="00C0049E" w:rsidP="00B8542F"/>
    <w:p w14:paraId="0146AD50" w14:textId="77777777" w:rsidR="00C0049E" w:rsidRDefault="00C0049E" w:rsidP="00B8542F"/>
    <w:p w14:paraId="0F7382F3" w14:textId="77777777" w:rsidR="00C0049E" w:rsidRDefault="00C0049E" w:rsidP="00B8542F"/>
  </w:footnote>
  <w:footnote w:type="continuationSeparator" w:id="0">
    <w:p w14:paraId="2BD8115A" w14:textId="77777777" w:rsidR="00C0049E" w:rsidRDefault="00C0049E" w:rsidP="00B8542F">
      <w:r>
        <w:continuationSeparator/>
      </w:r>
    </w:p>
    <w:p w14:paraId="1B1E65A4" w14:textId="77777777" w:rsidR="00C0049E" w:rsidRDefault="00C0049E" w:rsidP="00B8542F"/>
    <w:p w14:paraId="782E040A" w14:textId="77777777" w:rsidR="00C0049E" w:rsidRDefault="00C0049E" w:rsidP="00B8542F"/>
    <w:p w14:paraId="185DEE12" w14:textId="77777777" w:rsidR="00C0049E" w:rsidRDefault="00C0049E" w:rsidP="00B8542F"/>
    <w:p w14:paraId="6682D485" w14:textId="77777777" w:rsidR="00C0049E" w:rsidRDefault="00C0049E" w:rsidP="00B8542F"/>
  </w:footnote>
  <w:footnote w:type="continuationNotice" w:id="1">
    <w:p w14:paraId="167CE2F3" w14:textId="77777777" w:rsidR="00C0049E" w:rsidRDefault="00C0049E" w:rsidP="00B8542F"/>
    <w:p w14:paraId="501B5367" w14:textId="77777777" w:rsidR="00C0049E" w:rsidRDefault="00C0049E" w:rsidP="00B8542F"/>
    <w:p w14:paraId="435B6910" w14:textId="77777777" w:rsidR="00C0049E" w:rsidRDefault="00C0049E" w:rsidP="00B8542F"/>
    <w:p w14:paraId="24DA7211" w14:textId="77777777" w:rsidR="00C0049E" w:rsidRDefault="00C0049E" w:rsidP="00B8542F"/>
    <w:p w14:paraId="6B56B530" w14:textId="77777777" w:rsidR="00C0049E" w:rsidRDefault="00C0049E" w:rsidP="00B854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E8DC" w14:textId="2D8A4C48" w:rsidR="00C15A25" w:rsidRDefault="0077416C">
    <w:pPr>
      <w:pStyle w:val="Header"/>
    </w:pPr>
    <w:r>
      <w:rPr>
        <w:noProof/>
      </w:rPr>
      <w:pict w14:anchorId="353EB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425376" o:spid="_x0000_s1030" type="#_x0000_t136" alt="" style="position:absolute;left:0;text-align:left;margin-left:0;margin-top:0;width:471.3pt;height:18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73D9" w14:textId="367A3431" w:rsidR="000F3E19" w:rsidRDefault="0077416C" w:rsidP="00B8542F">
    <w:pPr>
      <w:pStyle w:val="Header"/>
    </w:pPr>
    <w:r>
      <w:rPr>
        <w:noProof/>
      </w:rPr>
      <w:pict w14:anchorId="204B4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425377" o:spid="_x0000_s1029" type="#_x0000_t136" alt="" style="position:absolute;left:0;text-align:left;margin-left:0;margin-top:0;width:471.3pt;height:188.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0F3E19">
      <w:tab/>
    </w:r>
    <w:r w:rsidR="000F3E1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E2B0" w14:textId="6A0A5592" w:rsidR="00D8581E" w:rsidRDefault="0077416C" w:rsidP="00B8542F">
    <w:pPr>
      <w:pStyle w:val="Header"/>
    </w:pPr>
    <w:r>
      <w:rPr>
        <w:noProof/>
      </w:rPr>
      <w:pict w14:anchorId="1090D9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425379" o:spid="_x0000_s1027" type="#_x0000_t136" alt="" style="position:absolute;left:0;text-align:left;margin-left:0;margin-top:0;width:471.3pt;height:188.5pt;rotation:315;z-index:-251658237;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A484" w14:textId="7A8F4708" w:rsidR="00D8581E" w:rsidRPr="00B8542F" w:rsidRDefault="00B8542F" w:rsidP="00B8542F">
    <w:pPr>
      <w:pStyle w:val="Header"/>
      <w:rPr>
        <w:rFonts w:ascii="Arial" w:hAnsi="Arial" w:cs="Arial"/>
        <w:b/>
        <w:bCs/>
      </w:rPr>
    </w:pPr>
    <w:r w:rsidRPr="00B8542F">
      <w:rPr>
        <w:rFonts w:ascii="Arial" w:hAnsi="Arial" w:cs="Arial"/>
        <w:b/>
        <w:bCs/>
      </w:rPr>
      <w:t>Empower Clinics Inc.</w:t>
    </w:r>
  </w:p>
  <w:p w14:paraId="27A02DDA" w14:textId="39F88AB4" w:rsidR="00D8581E" w:rsidRPr="00B8542F" w:rsidRDefault="00B8542F" w:rsidP="00B8542F">
    <w:pPr>
      <w:pStyle w:val="Header"/>
      <w:rPr>
        <w:rFonts w:ascii="Arial" w:hAnsi="Arial" w:cs="Arial"/>
        <w:b/>
        <w:bCs/>
        <w:sz w:val="20"/>
        <w:szCs w:val="20"/>
      </w:rPr>
    </w:pPr>
    <w:r w:rsidRPr="00B8542F">
      <w:rPr>
        <w:rFonts w:ascii="Arial" w:hAnsi="Arial" w:cs="Arial"/>
        <w:b/>
        <w:bCs/>
        <w:sz w:val="20"/>
        <w:szCs w:val="20"/>
      </w:rPr>
      <w:t>Management’s Discussion &amp; Analysis</w:t>
    </w:r>
  </w:p>
  <w:p w14:paraId="470BCC20" w14:textId="65751E74" w:rsidR="00D8581E" w:rsidRDefault="00D8581E" w:rsidP="00B8542F">
    <w:pPr>
      <w:pStyle w:val="Header"/>
      <w:rPr>
        <w:rFonts w:ascii="Arial" w:hAnsi="Arial" w:cs="Arial"/>
        <w:sz w:val="18"/>
        <w:szCs w:val="18"/>
      </w:rPr>
    </w:pPr>
    <w:r w:rsidRPr="00B8542F">
      <w:rPr>
        <w:rFonts w:ascii="Arial" w:hAnsi="Arial" w:cs="Arial"/>
        <w:sz w:val="18"/>
        <w:szCs w:val="18"/>
      </w:rPr>
      <w:t xml:space="preserve">For the </w:t>
    </w:r>
    <w:r w:rsidR="008210D3">
      <w:rPr>
        <w:rFonts w:ascii="Arial" w:hAnsi="Arial" w:cs="Arial"/>
        <w:sz w:val="18"/>
        <w:szCs w:val="18"/>
      </w:rPr>
      <w:t xml:space="preserve">three months ended March 31, </w:t>
    </w:r>
    <w:proofErr w:type="gramStart"/>
    <w:r w:rsidR="008210D3">
      <w:rPr>
        <w:rFonts w:ascii="Arial" w:hAnsi="Arial" w:cs="Arial"/>
        <w:sz w:val="18"/>
        <w:szCs w:val="18"/>
      </w:rPr>
      <w:t>2022</w:t>
    </w:r>
    <w:proofErr w:type="gramEnd"/>
    <w:r w:rsidR="008210D3">
      <w:rPr>
        <w:rFonts w:ascii="Arial" w:hAnsi="Arial" w:cs="Arial"/>
        <w:sz w:val="18"/>
        <w:szCs w:val="18"/>
      </w:rPr>
      <w:t xml:space="preserve"> and 2021</w:t>
    </w:r>
  </w:p>
  <w:p w14:paraId="7E56C306" w14:textId="2F6246FA" w:rsidR="00855C8F" w:rsidRDefault="00855C8F" w:rsidP="00B8542F">
    <w:pPr>
      <w:pStyle w:val="Header"/>
      <w:pBdr>
        <w:bottom w:val="single" w:sz="6" w:space="1" w:color="auto"/>
      </w:pBdr>
      <w:rPr>
        <w:rFonts w:ascii="Arial" w:hAnsi="Arial" w:cs="Arial"/>
        <w:sz w:val="18"/>
        <w:szCs w:val="18"/>
      </w:rPr>
    </w:pPr>
    <w:r>
      <w:rPr>
        <w:rFonts w:ascii="Arial" w:hAnsi="Arial" w:cs="Arial"/>
        <w:sz w:val="18"/>
        <w:szCs w:val="18"/>
      </w:rPr>
      <w:t>(Expressed in United States dollars, except where noted)</w:t>
    </w:r>
  </w:p>
  <w:p w14:paraId="14D77815" w14:textId="77777777" w:rsidR="00B8542F" w:rsidRPr="00B8542F" w:rsidRDefault="00B8542F" w:rsidP="00B8542F">
    <w:pPr>
      <w:pStyle w:val="Header"/>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B950" w14:textId="1E3F3A91" w:rsidR="00D8581E" w:rsidRDefault="0077416C" w:rsidP="00B8542F">
    <w:pPr>
      <w:pStyle w:val="Header"/>
    </w:pPr>
    <w:r>
      <w:rPr>
        <w:noProof/>
      </w:rPr>
      <w:pict w14:anchorId="6D3C2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425378" o:spid="_x0000_s1025" type="#_x0000_t136" alt="" style="position:absolute;left:0;text-align:left;margin-left:0;margin-top:0;width:471.3pt;height:188.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779"/>
    <w:multiLevelType w:val="hybridMultilevel"/>
    <w:tmpl w:val="A2E0033A"/>
    <w:lvl w:ilvl="0" w:tplc="32241B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AB341F"/>
    <w:multiLevelType w:val="hybridMultilevel"/>
    <w:tmpl w:val="8924C4C8"/>
    <w:lvl w:ilvl="0" w:tplc="72FA6C92">
      <w:start w:val="1"/>
      <w:numFmt w:val="lowerRoman"/>
      <w:lvlText w:val="(%1)"/>
      <w:lvlJc w:val="left"/>
      <w:pPr>
        <w:ind w:left="765" w:hanging="72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 w15:restartNumberingAfterBreak="0">
    <w:nsid w:val="0E2B36B4"/>
    <w:multiLevelType w:val="hybridMultilevel"/>
    <w:tmpl w:val="AEE40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2F32E5"/>
    <w:multiLevelType w:val="hybridMultilevel"/>
    <w:tmpl w:val="5CB04B6E"/>
    <w:lvl w:ilvl="0" w:tplc="787A6656">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6B2FB7"/>
    <w:multiLevelType w:val="hybridMultilevel"/>
    <w:tmpl w:val="0714D7FA"/>
    <w:lvl w:ilvl="0" w:tplc="B5B8C844">
      <w:start w:val="1"/>
      <w:numFmt w:val="bullet"/>
      <w:pStyle w:val="bt5"/>
      <w:lvlText w:val=""/>
      <w:lvlJc w:val="left"/>
      <w:pPr>
        <w:tabs>
          <w:tab w:val="num" w:pos="1440"/>
        </w:tabs>
        <w:ind w:left="1440" w:hanging="720"/>
      </w:pPr>
      <w:rPr>
        <w:rFonts w:ascii="Symbol" w:hAnsi="Symbol" w:hint="default"/>
      </w:rPr>
    </w:lvl>
    <w:lvl w:ilvl="1" w:tplc="754207E4">
      <w:start w:val="1"/>
      <w:numFmt w:val="bullet"/>
      <w:lvlText w:val="o"/>
      <w:lvlJc w:val="left"/>
      <w:pPr>
        <w:tabs>
          <w:tab w:val="num" w:pos="1440"/>
        </w:tabs>
        <w:ind w:left="1440" w:hanging="360"/>
      </w:pPr>
      <w:rPr>
        <w:rFonts w:ascii="Courier New" w:hAnsi="Courier New" w:cs="Times New Roman" w:hint="default"/>
      </w:rPr>
    </w:lvl>
    <w:lvl w:ilvl="2" w:tplc="35C4F610">
      <w:start w:val="1"/>
      <w:numFmt w:val="bullet"/>
      <w:lvlText w:val=""/>
      <w:lvlJc w:val="left"/>
      <w:pPr>
        <w:tabs>
          <w:tab w:val="num" w:pos="2160"/>
        </w:tabs>
        <w:ind w:left="2160" w:hanging="360"/>
      </w:pPr>
      <w:rPr>
        <w:rFonts w:ascii="Wingdings" w:hAnsi="Wingdings" w:hint="default"/>
      </w:rPr>
    </w:lvl>
    <w:lvl w:ilvl="3" w:tplc="81703D14">
      <w:start w:val="1"/>
      <w:numFmt w:val="bullet"/>
      <w:lvlText w:val=""/>
      <w:lvlJc w:val="left"/>
      <w:pPr>
        <w:tabs>
          <w:tab w:val="num" w:pos="2880"/>
        </w:tabs>
        <w:ind w:left="2880" w:hanging="360"/>
      </w:pPr>
      <w:rPr>
        <w:rFonts w:ascii="Symbol" w:hAnsi="Symbol" w:hint="default"/>
      </w:rPr>
    </w:lvl>
    <w:lvl w:ilvl="4" w:tplc="8B26C98A">
      <w:start w:val="1"/>
      <w:numFmt w:val="bullet"/>
      <w:lvlText w:val="o"/>
      <w:lvlJc w:val="left"/>
      <w:pPr>
        <w:tabs>
          <w:tab w:val="num" w:pos="3600"/>
        </w:tabs>
        <w:ind w:left="3600" w:hanging="360"/>
      </w:pPr>
      <w:rPr>
        <w:rFonts w:ascii="Courier New" w:hAnsi="Courier New" w:cs="Times New Roman" w:hint="default"/>
      </w:rPr>
    </w:lvl>
    <w:lvl w:ilvl="5" w:tplc="3EB02F30">
      <w:start w:val="1"/>
      <w:numFmt w:val="bullet"/>
      <w:lvlText w:val=""/>
      <w:lvlJc w:val="left"/>
      <w:pPr>
        <w:tabs>
          <w:tab w:val="num" w:pos="4320"/>
        </w:tabs>
        <w:ind w:left="4320" w:hanging="360"/>
      </w:pPr>
      <w:rPr>
        <w:rFonts w:ascii="Wingdings" w:hAnsi="Wingdings" w:hint="default"/>
      </w:rPr>
    </w:lvl>
    <w:lvl w:ilvl="6" w:tplc="D07A6F78">
      <w:start w:val="1"/>
      <w:numFmt w:val="bullet"/>
      <w:lvlText w:val=""/>
      <w:lvlJc w:val="left"/>
      <w:pPr>
        <w:tabs>
          <w:tab w:val="num" w:pos="5040"/>
        </w:tabs>
        <w:ind w:left="5040" w:hanging="360"/>
      </w:pPr>
      <w:rPr>
        <w:rFonts w:ascii="Symbol" w:hAnsi="Symbol" w:hint="default"/>
      </w:rPr>
    </w:lvl>
    <w:lvl w:ilvl="7" w:tplc="D98EAA24">
      <w:start w:val="1"/>
      <w:numFmt w:val="bullet"/>
      <w:lvlText w:val="o"/>
      <w:lvlJc w:val="left"/>
      <w:pPr>
        <w:tabs>
          <w:tab w:val="num" w:pos="5760"/>
        </w:tabs>
        <w:ind w:left="5760" w:hanging="360"/>
      </w:pPr>
      <w:rPr>
        <w:rFonts w:ascii="Courier New" w:hAnsi="Courier New" w:cs="Times New Roman" w:hint="default"/>
      </w:rPr>
    </w:lvl>
    <w:lvl w:ilvl="8" w:tplc="BDCA7C9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5453E"/>
    <w:multiLevelType w:val="hybridMultilevel"/>
    <w:tmpl w:val="AD58BB6E"/>
    <w:lvl w:ilvl="0" w:tplc="3A96ED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A219FC"/>
    <w:multiLevelType w:val="hybridMultilevel"/>
    <w:tmpl w:val="9D880F8E"/>
    <w:lvl w:ilvl="0" w:tplc="10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3277AE"/>
    <w:multiLevelType w:val="hybridMultilevel"/>
    <w:tmpl w:val="3D0A0608"/>
    <w:lvl w:ilvl="0" w:tplc="3782EE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3C5A09"/>
    <w:multiLevelType w:val="hybridMultilevel"/>
    <w:tmpl w:val="4140AE98"/>
    <w:lvl w:ilvl="0" w:tplc="10090017">
      <w:start w:val="1"/>
      <w:numFmt w:val="lowerLetter"/>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9" w15:restartNumberingAfterBreak="0">
    <w:nsid w:val="4392682C"/>
    <w:multiLevelType w:val="multilevel"/>
    <w:tmpl w:val="763C3E8C"/>
    <w:lvl w:ilvl="0">
      <w:start w:val="1"/>
      <w:numFmt w:val="lowerRoman"/>
      <w:lvlText w:val="%1."/>
      <w:lvlJc w:val="right"/>
      <w:pPr>
        <w:tabs>
          <w:tab w:val="num" w:pos="720"/>
        </w:tabs>
        <w:ind w:left="720" w:hanging="360"/>
      </w:pPr>
      <w:rPr>
        <w:rFonts w:hint="default"/>
        <w:b w:val="0"/>
        <w:bCs w:val="0"/>
        <w:sz w:val="18"/>
        <w:szCs w:val="16"/>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8D75E0"/>
    <w:multiLevelType w:val="hybridMultilevel"/>
    <w:tmpl w:val="9104AE1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F21797"/>
    <w:multiLevelType w:val="hybridMultilevel"/>
    <w:tmpl w:val="79DC7B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D9A579C"/>
    <w:multiLevelType w:val="multilevel"/>
    <w:tmpl w:val="2E303C00"/>
    <w:lvl w:ilvl="0">
      <w:start w:val="1"/>
      <w:numFmt w:val="decimal"/>
      <w:pStyle w:val="CP1"/>
      <w:lvlText w:val="%1."/>
      <w:lvlJc w:val="left"/>
      <w:pPr>
        <w:tabs>
          <w:tab w:val="num" w:pos="720"/>
        </w:tabs>
        <w:ind w:left="720" w:hanging="720"/>
      </w:pPr>
      <w:rPr>
        <w:rFonts w:hint="default"/>
        <w:b/>
        <w:sz w:val="18"/>
        <w:szCs w:val="18"/>
      </w:rPr>
    </w:lvl>
    <w:lvl w:ilvl="1">
      <w:start w:val="1"/>
      <w:numFmt w:val="lowerLetter"/>
      <w:pStyle w:val="CP2"/>
      <w:lvlText w:val="(%2)"/>
      <w:lvlJc w:val="left"/>
      <w:pPr>
        <w:tabs>
          <w:tab w:val="num" w:pos="1440"/>
        </w:tabs>
        <w:ind w:left="1440" w:hanging="720"/>
      </w:pPr>
      <w:rPr>
        <w:rFonts w:hint="default"/>
      </w:rPr>
    </w:lvl>
    <w:lvl w:ilvl="2">
      <w:start w:val="5"/>
      <w:numFmt w:val="lowerLetter"/>
      <w:pStyle w:val="CP3"/>
      <w:lvlText w:val="%3)"/>
      <w:lvlJc w:val="left"/>
      <w:pPr>
        <w:tabs>
          <w:tab w:val="num" w:pos="900"/>
        </w:tabs>
        <w:ind w:left="900" w:hanging="720"/>
      </w:pPr>
      <w:rPr>
        <w:rFonts w:ascii="Arial" w:hAnsi="Arial" w:cs="Arial" w:hint="default"/>
        <w:sz w:val="18"/>
        <w:szCs w:val="18"/>
      </w:rPr>
    </w:lvl>
    <w:lvl w:ilvl="3">
      <w:start w:val="1"/>
      <w:numFmt w:val="upperLetter"/>
      <w:pStyle w:val="CP4"/>
      <w:lvlText w:val="%4."/>
      <w:lvlJc w:val="left"/>
      <w:pPr>
        <w:tabs>
          <w:tab w:val="num" w:pos="2880"/>
        </w:tabs>
        <w:ind w:left="2880" w:hanging="720"/>
      </w:pPr>
      <w:rPr>
        <w:rFonts w:hint="default"/>
      </w:rPr>
    </w:lvl>
    <w:lvl w:ilvl="4">
      <w:start w:val="3"/>
      <w:numFmt w:val="lowerLetter"/>
      <w:pStyle w:val="CP5"/>
      <w:lvlText w:val="%5)"/>
      <w:lvlJc w:val="left"/>
      <w:pPr>
        <w:tabs>
          <w:tab w:val="num" w:pos="3600"/>
        </w:tabs>
        <w:ind w:left="3600" w:hanging="720"/>
      </w:pPr>
      <w:rPr>
        <w:rFonts w:hint="default"/>
      </w:rPr>
    </w:lvl>
    <w:lvl w:ilvl="5">
      <w:start w:val="1"/>
      <w:numFmt w:val="lowerRoman"/>
      <w:pStyle w:val="CP6"/>
      <w:lvlText w:val="%6)"/>
      <w:lvlJc w:val="left"/>
      <w:pPr>
        <w:tabs>
          <w:tab w:val="num" w:pos="4320"/>
        </w:tabs>
        <w:ind w:left="4320" w:hanging="720"/>
      </w:pPr>
      <w:rPr>
        <w:rFonts w:hint="default"/>
      </w:rPr>
    </w:lvl>
    <w:lvl w:ilvl="6">
      <w:start w:val="1"/>
      <w:numFmt w:val="upperLetter"/>
      <w:pStyle w:val="CP7"/>
      <w:lvlText w:val="%7)"/>
      <w:lvlJc w:val="left"/>
      <w:pPr>
        <w:tabs>
          <w:tab w:val="num" w:pos="4320"/>
        </w:tabs>
        <w:ind w:left="4320" w:hanging="720"/>
      </w:pPr>
      <w:rPr>
        <w:rFonts w:hint="default"/>
      </w:rPr>
    </w:lvl>
    <w:lvl w:ilvl="7">
      <w:start w:val="1"/>
      <w:numFmt w:val="lowerLetter"/>
      <w:pStyle w:val="CP8"/>
      <w:lvlText w:val="%8."/>
      <w:lvlJc w:val="left"/>
      <w:pPr>
        <w:tabs>
          <w:tab w:val="num" w:pos="4320"/>
        </w:tabs>
        <w:ind w:left="4320" w:hanging="720"/>
      </w:pPr>
      <w:rPr>
        <w:rFonts w:hint="default"/>
      </w:rPr>
    </w:lvl>
    <w:lvl w:ilvl="8">
      <w:start w:val="1"/>
      <w:numFmt w:val="lowerRoman"/>
      <w:pStyle w:val="CP9"/>
      <w:lvlText w:val="%9."/>
      <w:lvlJc w:val="left"/>
      <w:pPr>
        <w:tabs>
          <w:tab w:val="num" w:pos="4320"/>
        </w:tabs>
        <w:ind w:left="4320" w:hanging="720"/>
      </w:pPr>
      <w:rPr>
        <w:rFonts w:hint="default"/>
      </w:rPr>
    </w:lvl>
  </w:abstractNum>
  <w:abstractNum w:abstractNumId="13" w15:restartNumberingAfterBreak="0">
    <w:nsid w:val="4FEB32C5"/>
    <w:multiLevelType w:val="hybridMultilevel"/>
    <w:tmpl w:val="F2AC5462"/>
    <w:lvl w:ilvl="0" w:tplc="10090001">
      <w:start w:val="1"/>
      <w:numFmt w:val="bullet"/>
      <w:lvlText w:val=""/>
      <w:lvlJc w:val="left"/>
      <w:pPr>
        <w:ind w:left="270" w:hanging="360"/>
      </w:pPr>
      <w:rPr>
        <w:rFonts w:ascii="Symbol" w:hAnsi="Symbol" w:hint="default"/>
      </w:rPr>
    </w:lvl>
    <w:lvl w:ilvl="1" w:tplc="10090003" w:tentative="1">
      <w:start w:val="1"/>
      <w:numFmt w:val="bullet"/>
      <w:lvlText w:val="o"/>
      <w:lvlJc w:val="left"/>
      <w:pPr>
        <w:ind w:left="990" w:hanging="360"/>
      </w:pPr>
      <w:rPr>
        <w:rFonts w:ascii="Courier New" w:hAnsi="Courier New" w:cs="Courier New" w:hint="default"/>
      </w:rPr>
    </w:lvl>
    <w:lvl w:ilvl="2" w:tplc="10090005" w:tentative="1">
      <w:start w:val="1"/>
      <w:numFmt w:val="bullet"/>
      <w:lvlText w:val=""/>
      <w:lvlJc w:val="left"/>
      <w:pPr>
        <w:ind w:left="1710" w:hanging="360"/>
      </w:pPr>
      <w:rPr>
        <w:rFonts w:ascii="Wingdings" w:hAnsi="Wingdings" w:hint="default"/>
      </w:rPr>
    </w:lvl>
    <w:lvl w:ilvl="3" w:tplc="10090001" w:tentative="1">
      <w:start w:val="1"/>
      <w:numFmt w:val="bullet"/>
      <w:lvlText w:val=""/>
      <w:lvlJc w:val="left"/>
      <w:pPr>
        <w:ind w:left="2430" w:hanging="360"/>
      </w:pPr>
      <w:rPr>
        <w:rFonts w:ascii="Symbol" w:hAnsi="Symbol" w:hint="default"/>
      </w:rPr>
    </w:lvl>
    <w:lvl w:ilvl="4" w:tplc="10090003" w:tentative="1">
      <w:start w:val="1"/>
      <w:numFmt w:val="bullet"/>
      <w:lvlText w:val="o"/>
      <w:lvlJc w:val="left"/>
      <w:pPr>
        <w:ind w:left="3150" w:hanging="360"/>
      </w:pPr>
      <w:rPr>
        <w:rFonts w:ascii="Courier New" w:hAnsi="Courier New" w:cs="Courier New" w:hint="default"/>
      </w:rPr>
    </w:lvl>
    <w:lvl w:ilvl="5" w:tplc="10090005" w:tentative="1">
      <w:start w:val="1"/>
      <w:numFmt w:val="bullet"/>
      <w:lvlText w:val=""/>
      <w:lvlJc w:val="left"/>
      <w:pPr>
        <w:ind w:left="3870" w:hanging="360"/>
      </w:pPr>
      <w:rPr>
        <w:rFonts w:ascii="Wingdings" w:hAnsi="Wingdings" w:hint="default"/>
      </w:rPr>
    </w:lvl>
    <w:lvl w:ilvl="6" w:tplc="10090001" w:tentative="1">
      <w:start w:val="1"/>
      <w:numFmt w:val="bullet"/>
      <w:lvlText w:val=""/>
      <w:lvlJc w:val="left"/>
      <w:pPr>
        <w:ind w:left="4590" w:hanging="360"/>
      </w:pPr>
      <w:rPr>
        <w:rFonts w:ascii="Symbol" w:hAnsi="Symbol" w:hint="default"/>
      </w:rPr>
    </w:lvl>
    <w:lvl w:ilvl="7" w:tplc="10090003" w:tentative="1">
      <w:start w:val="1"/>
      <w:numFmt w:val="bullet"/>
      <w:lvlText w:val="o"/>
      <w:lvlJc w:val="left"/>
      <w:pPr>
        <w:ind w:left="5310" w:hanging="360"/>
      </w:pPr>
      <w:rPr>
        <w:rFonts w:ascii="Courier New" w:hAnsi="Courier New" w:cs="Courier New" w:hint="default"/>
      </w:rPr>
    </w:lvl>
    <w:lvl w:ilvl="8" w:tplc="10090005" w:tentative="1">
      <w:start w:val="1"/>
      <w:numFmt w:val="bullet"/>
      <w:lvlText w:val=""/>
      <w:lvlJc w:val="left"/>
      <w:pPr>
        <w:ind w:left="6030" w:hanging="360"/>
      </w:pPr>
      <w:rPr>
        <w:rFonts w:ascii="Wingdings" w:hAnsi="Wingdings" w:hint="default"/>
      </w:rPr>
    </w:lvl>
  </w:abstractNum>
  <w:abstractNum w:abstractNumId="14" w15:restartNumberingAfterBreak="0">
    <w:nsid w:val="50BD249E"/>
    <w:multiLevelType w:val="hybridMultilevel"/>
    <w:tmpl w:val="9104AE1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0C77D67"/>
    <w:multiLevelType w:val="hybridMultilevel"/>
    <w:tmpl w:val="5EA8C308"/>
    <w:lvl w:ilvl="0" w:tplc="0A8E61B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1A34D81"/>
    <w:multiLevelType w:val="hybridMultilevel"/>
    <w:tmpl w:val="2F424B6E"/>
    <w:lvl w:ilvl="0" w:tplc="21C0345E">
      <w:start w:val="1"/>
      <w:numFmt w:val="decimal"/>
      <w:lvlText w:val="(%1)"/>
      <w:lvlJc w:val="left"/>
      <w:pPr>
        <w:ind w:left="720" w:hanging="360"/>
      </w:pPr>
      <w:rPr>
        <w:rFonts w:hint="default"/>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E9A1D02"/>
    <w:multiLevelType w:val="hybridMultilevel"/>
    <w:tmpl w:val="E752F6B2"/>
    <w:lvl w:ilvl="0" w:tplc="10090001">
      <w:start w:val="1"/>
      <w:numFmt w:val="bullet"/>
      <w:lvlText w:val=""/>
      <w:lvlJc w:val="left"/>
      <w:pPr>
        <w:ind w:left="765" w:hanging="720"/>
      </w:pPr>
      <w:rPr>
        <w:rFonts w:ascii="Symbol" w:hAnsi="Symbol" w:hint="default"/>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num w:numId="1" w16cid:durableId="1552305865">
    <w:abstractNumId w:val="15"/>
  </w:num>
  <w:num w:numId="2" w16cid:durableId="404453079">
    <w:abstractNumId w:val="12"/>
  </w:num>
  <w:num w:numId="3" w16cid:durableId="217978333">
    <w:abstractNumId w:val="2"/>
  </w:num>
  <w:num w:numId="4" w16cid:durableId="321274341">
    <w:abstractNumId w:val="10"/>
  </w:num>
  <w:num w:numId="5" w16cid:durableId="1663002744">
    <w:abstractNumId w:val="14"/>
  </w:num>
  <w:num w:numId="6" w16cid:durableId="1741830263">
    <w:abstractNumId w:val="0"/>
  </w:num>
  <w:num w:numId="7" w16cid:durableId="1334719661">
    <w:abstractNumId w:val="16"/>
  </w:num>
  <w:num w:numId="8" w16cid:durableId="960695938">
    <w:abstractNumId w:val="9"/>
  </w:num>
  <w:num w:numId="9" w16cid:durableId="286283195">
    <w:abstractNumId w:val="13"/>
  </w:num>
  <w:num w:numId="10" w16cid:durableId="1123572799">
    <w:abstractNumId w:val="8"/>
  </w:num>
  <w:num w:numId="11" w16cid:durableId="786508941">
    <w:abstractNumId w:val="3"/>
  </w:num>
  <w:num w:numId="12" w16cid:durableId="1190724393">
    <w:abstractNumId w:val="3"/>
  </w:num>
  <w:num w:numId="13" w16cid:durableId="1598951122">
    <w:abstractNumId w:val="11"/>
  </w:num>
  <w:num w:numId="14" w16cid:durableId="1249193158">
    <w:abstractNumId w:val="4"/>
  </w:num>
  <w:num w:numId="15" w16cid:durableId="2003654238">
    <w:abstractNumId w:val="5"/>
  </w:num>
  <w:num w:numId="16" w16cid:durableId="177695325">
    <w:abstractNumId w:val="6"/>
  </w:num>
  <w:num w:numId="17" w16cid:durableId="218128051">
    <w:abstractNumId w:val="1"/>
  </w:num>
  <w:num w:numId="18" w16cid:durableId="382680127">
    <w:abstractNumId w:val="17"/>
  </w:num>
  <w:num w:numId="19" w16cid:durableId="141185478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GwMLc0MTUHUiaWFko6SsGpxcWZ+XkgBaZGtQDqXY0ULQAAAA=="/>
  </w:docVars>
  <w:rsids>
    <w:rsidRoot w:val="00FA6D64"/>
    <w:rsid w:val="00002F53"/>
    <w:rsid w:val="000036DF"/>
    <w:rsid w:val="00003F83"/>
    <w:rsid w:val="000078A4"/>
    <w:rsid w:val="00007ADF"/>
    <w:rsid w:val="0001209E"/>
    <w:rsid w:val="00014360"/>
    <w:rsid w:val="00014CCA"/>
    <w:rsid w:val="000151BC"/>
    <w:rsid w:val="00021A2C"/>
    <w:rsid w:val="00021D62"/>
    <w:rsid w:val="000226DC"/>
    <w:rsid w:val="00022C1E"/>
    <w:rsid w:val="000246F2"/>
    <w:rsid w:val="000266D9"/>
    <w:rsid w:val="000274A9"/>
    <w:rsid w:val="00027B21"/>
    <w:rsid w:val="000307AC"/>
    <w:rsid w:val="000317FF"/>
    <w:rsid w:val="00031D38"/>
    <w:rsid w:val="00032D80"/>
    <w:rsid w:val="00033715"/>
    <w:rsid w:val="000342C6"/>
    <w:rsid w:val="00035ACB"/>
    <w:rsid w:val="00036D03"/>
    <w:rsid w:val="00042A3E"/>
    <w:rsid w:val="00044D74"/>
    <w:rsid w:val="00050463"/>
    <w:rsid w:val="00052A1F"/>
    <w:rsid w:val="00053407"/>
    <w:rsid w:val="0005720A"/>
    <w:rsid w:val="000620B5"/>
    <w:rsid w:val="00063621"/>
    <w:rsid w:val="00063B5A"/>
    <w:rsid w:val="0006581C"/>
    <w:rsid w:val="000706DD"/>
    <w:rsid w:val="00074A78"/>
    <w:rsid w:val="00075786"/>
    <w:rsid w:val="00076761"/>
    <w:rsid w:val="00077435"/>
    <w:rsid w:val="00077DA5"/>
    <w:rsid w:val="000814DC"/>
    <w:rsid w:val="000829F0"/>
    <w:rsid w:val="00082AE8"/>
    <w:rsid w:val="000831E8"/>
    <w:rsid w:val="0008421F"/>
    <w:rsid w:val="00084BA2"/>
    <w:rsid w:val="00091077"/>
    <w:rsid w:val="0009464D"/>
    <w:rsid w:val="000964C8"/>
    <w:rsid w:val="00096C66"/>
    <w:rsid w:val="00097392"/>
    <w:rsid w:val="000A1C25"/>
    <w:rsid w:val="000A2877"/>
    <w:rsid w:val="000A310A"/>
    <w:rsid w:val="000A3E37"/>
    <w:rsid w:val="000A3EB6"/>
    <w:rsid w:val="000A66C7"/>
    <w:rsid w:val="000B22A7"/>
    <w:rsid w:val="000B2773"/>
    <w:rsid w:val="000B2A88"/>
    <w:rsid w:val="000B2D7F"/>
    <w:rsid w:val="000B47CE"/>
    <w:rsid w:val="000B495A"/>
    <w:rsid w:val="000B5C92"/>
    <w:rsid w:val="000C08DC"/>
    <w:rsid w:val="000C2D30"/>
    <w:rsid w:val="000C3D5C"/>
    <w:rsid w:val="000C49F8"/>
    <w:rsid w:val="000C626B"/>
    <w:rsid w:val="000C7775"/>
    <w:rsid w:val="000C7833"/>
    <w:rsid w:val="000C7EE9"/>
    <w:rsid w:val="000D09BF"/>
    <w:rsid w:val="000D4250"/>
    <w:rsid w:val="000D4267"/>
    <w:rsid w:val="000D492B"/>
    <w:rsid w:val="000D4F47"/>
    <w:rsid w:val="000E0ED1"/>
    <w:rsid w:val="000E2941"/>
    <w:rsid w:val="000E2BCF"/>
    <w:rsid w:val="000E2FAB"/>
    <w:rsid w:val="000E366D"/>
    <w:rsid w:val="000E4771"/>
    <w:rsid w:val="000E5C02"/>
    <w:rsid w:val="000F081D"/>
    <w:rsid w:val="000F0F95"/>
    <w:rsid w:val="000F2044"/>
    <w:rsid w:val="000F246F"/>
    <w:rsid w:val="000F320C"/>
    <w:rsid w:val="000F32BE"/>
    <w:rsid w:val="000F354D"/>
    <w:rsid w:val="000F3654"/>
    <w:rsid w:val="000F3B1C"/>
    <w:rsid w:val="000F3E19"/>
    <w:rsid w:val="000F4B42"/>
    <w:rsid w:val="000F54BE"/>
    <w:rsid w:val="000F66FB"/>
    <w:rsid w:val="00100A6E"/>
    <w:rsid w:val="00102915"/>
    <w:rsid w:val="001036B0"/>
    <w:rsid w:val="001107A8"/>
    <w:rsid w:val="001109D4"/>
    <w:rsid w:val="00111C7A"/>
    <w:rsid w:val="00113849"/>
    <w:rsid w:val="001148CF"/>
    <w:rsid w:val="00114D3D"/>
    <w:rsid w:val="001168B7"/>
    <w:rsid w:val="001202DB"/>
    <w:rsid w:val="00121A7F"/>
    <w:rsid w:val="00121E3A"/>
    <w:rsid w:val="00123032"/>
    <w:rsid w:val="00123244"/>
    <w:rsid w:val="00123A76"/>
    <w:rsid w:val="00123F46"/>
    <w:rsid w:val="00125EFB"/>
    <w:rsid w:val="00127D64"/>
    <w:rsid w:val="00130580"/>
    <w:rsid w:val="001309E9"/>
    <w:rsid w:val="00132F7A"/>
    <w:rsid w:val="001332B7"/>
    <w:rsid w:val="00133C18"/>
    <w:rsid w:val="00134440"/>
    <w:rsid w:val="00134557"/>
    <w:rsid w:val="001349BF"/>
    <w:rsid w:val="00135F3A"/>
    <w:rsid w:val="00136ADE"/>
    <w:rsid w:val="0013793F"/>
    <w:rsid w:val="00140B9C"/>
    <w:rsid w:val="0014121E"/>
    <w:rsid w:val="00141253"/>
    <w:rsid w:val="001442B7"/>
    <w:rsid w:val="00144A0B"/>
    <w:rsid w:val="00146CAF"/>
    <w:rsid w:val="001473D2"/>
    <w:rsid w:val="00150108"/>
    <w:rsid w:val="00153C3D"/>
    <w:rsid w:val="00155040"/>
    <w:rsid w:val="00155443"/>
    <w:rsid w:val="00157BE1"/>
    <w:rsid w:val="00157D79"/>
    <w:rsid w:val="00157FBE"/>
    <w:rsid w:val="00160AFF"/>
    <w:rsid w:val="00160C23"/>
    <w:rsid w:val="0016438E"/>
    <w:rsid w:val="0016654E"/>
    <w:rsid w:val="00166E93"/>
    <w:rsid w:val="001671D4"/>
    <w:rsid w:val="00170494"/>
    <w:rsid w:val="00171A7E"/>
    <w:rsid w:val="0017740E"/>
    <w:rsid w:val="00177843"/>
    <w:rsid w:val="001802B5"/>
    <w:rsid w:val="00181ED6"/>
    <w:rsid w:val="0018302C"/>
    <w:rsid w:val="00183CE7"/>
    <w:rsid w:val="00186033"/>
    <w:rsid w:val="00187CD2"/>
    <w:rsid w:val="00190495"/>
    <w:rsid w:val="001920DE"/>
    <w:rsid w:val="00193D49"/>
    <w:rsid w:val="00195FE2"/>
    <w:rsid w:val="00196806"/>
    <w:rsid w:val="00196925"/>
    <w:rsid w:val="001971FD"/>
    <w:rsid w:val="00197B7F"/>
    <w:rsid w:val="001A0AFD"/>
    <w:rsid w:val="001A1679"/>
    <w:rsid w:val="001A24CA"/>
    <w:rsid w:val="001A5DAF"/>
    <w:rsid w:val="001A68AB"/>
    <w:rsid w:val="001A6D92"/>
    <w:rsid w:val="001A6FF9"/>
    <w:rsid w:val="001A7330"/>
    <w:rsid w:val="001A7752"/>
    <w:rsid w:val="001A7E6B"/>
    <w:rsid w:val="001B2F38"/>
    <w:rsid w:val="001B693C"/>
    <w:rsid w:val="001C0AF1"/>
    <w:rsid w:val="001C0DAD"/>
    <w:rsid w:val="001C2284"/>
    <w:rsid w:val="001C3A09"/>
    <w:rsid w:val="001C7200"/>
    <w:rsid w:val="001C76A1"/>
    <w:rsid w:val="001D13DE"/>
    <w:rsid w:val="001D161C"/>
    <w:rsid w:val="001D2CF2"/>
    <w:rsid w:val="001D3E25"/>
    <w:rsid w:val="001D6B83"/>
    <w:rsid w:val="001E1612"/>
    <w:rsid w:val="001E36DA"/>
    <w:rsid w:val="001E68D2"/>
    <w:rsid w:val="001E77FB"/>
    <w:rsid w:val="001F02B5"/>
    <w:rsid w:val="001F0A9F"/>
    <w:rsid w:val="001F0FA0"/>
    <w:rsid w:val="001F1660"/>
    <w:rsid w:val="001F3487"/>
    <w:rsid w:val="001F37F5"/>
    <w:rsid w:val="001F5FAE"/>
    <w:rsid w:val="001F776C"/>
    <w:rsid w:val="00200BF5"/>
    <w:rsid w:val="00200C8B"/>
    <w:rsid w:val="00202FE6"/>
    <w:rsid w:val="00205361"/>
    <w:rsid w:val="0020780B"/>
    <w:rsid w:val="0021048E"/>
    <w:rsid w:val="002112B1"/>
    <w:rsid w:val="00211362"/>
    <w:rsid w:val="00212BFF"/>
    <w:rsid w:val="0021763B"/>
    <w:rsid w:val="00217B69"/>
    <w:rsid w:val="00223A69"/>
    <w:rsid w:val="00232E2A"/>
    <w:rsid w:val="002337E6"/>
    <w:rsid w:val="00234553"/>
    <w:rsid w:val="002345FE"/>
    <w:rsid w:val="00237A88"/>
    <w:rsid w:val="002416DB"/>
    <w:rsid w:val="00241B1D"/>
    <w:rsid w:val="00242303"/>
    <w:rsid w:val="0024250E"/>
    <w:rsid w:val="0024395B"/>
    <w:rsid w:val="0024511F"/>
    <w:rsid w:val="00245EBE"/>
    <w:rsid w:val="00246857"/>
    <w:rsid w:val="00250911"/>
    <w:rsid w:val="00251258"/>
    <w:rsid w:val="0025280E"/>
    <w:rsid w:val="0025405E"/>
    <w:rsid w:val="00257954"/>
    <w:rsid w:val="0026126B"/>
    <w:rsid w:val="00262CD6"/>
    <w:rsid w:val="00262E23"/>
    <w:rsid w:val="00262EFA"/>
    <w:rsid w:val="00263BF8"/>
    <w:rsid w:val="00263DFE"/>
    <w:rsid w:val="00265FF2"/>
    <w:rsid w:val="00270699"/>
    <w:rsid w:val="0027082B"/>
    <w:rsid w:val="00272EEF"/>
    <w:rsid w:val="00273262"/>
    <w:rsid w:val="0027424F"/>
    <w:rsid w:val="002750AB"/>
    <w:rsid w:val="0028013B"/>
    <w:rsid w:val="002819D9"/>
    <w:rsid w:val="002845A7"/>
    <w:rsid w:val="00285778"/>
    <w:rsid w:val="00286BEB"/>
    <w:rsid w:val="0029003F"/>
    <w:rsid w:val="00294DE5"/>
    <w:rsid w:val="0029716D"/>
    <w:rsid w:val="002A03A3"/>
    <w:rsid w:val="002A2CE2"/>
    <w:rsid w:val="002A3FD4"/>
    <w:rsid w:val="002A439E"/>
    <w:rsid w:val="002A476A"/>
    <w:rsid w:val="002A6EDC"/>
    <w:rsid w:val="002B01B9"/>
    <w:rsid w:val="002B0899"/>
    <w:rsid w:val="002B1CF5"/>
    <w:rsid w:val="002B39D1"/>
    <w:rsid w:val="002B483D"/>
    <w:rsid w:val="002B6491"/>
    <w:rsid w:val="002B7C31"/>
    <w:rsid w:val="002C0C98"/>
    <w:rsid w:val="002C1C47"/>
    <w:rsid w:val="002C3ACE"/>
    <w:rsid w:val="002C3DC7"/>
    <w:rsid w:val="002C4304"/>
    <w:rsid w:val="002C6AF5"/>
    <w:rsid w:val="002C6EB6"/>
    <w:rsid w:val="002C7FEC"/>
    <w:rsid w:val="002D0109"/>
    <w:rsid w:val="002D0C6A"/>
    <w:rsid w:val="002D1846"/>
    <w:rsid w:val="002D1B7A"/>
    <w:rsid w:val="002D2211"/>
    <w:rsid w:val="002D287A"/>
    <w:rsid w:val="002D2B07"/>
    <w:rsid w:val="002D3AB8"/>
    <w:rsid w:val="002D42BD"/>
    <w:rsid w:val="002D4B7D"/>
    <w:rsid w:val="002D65FF"/>
    <w:rsid w:val="002D6B51"/>
    <w:rsid w:val="002F0035"/>
    <w:rsid w:val="002F0D3B"/>
    <w:rsid w:val="002F3A86"/>
    <w:rsid w:val="002F4AF8"/>
    <w:rsid w:val="002F58F7"/>
    <w:rsid w:val="002F6A19"/>
    <w:rsid w:val="002F6EB1"/>
    <w:rsid w:val="002F7977"/>
    <w:rsid w:val="003000CA"/>
    <w:rsid w:val="00300158"/>
    <w:rsid w:val="0030037D"/>
    <w:rsid w:val="00305F8A"/>
    <w:rsid w:val="0030630D"/>
    <w:rsid w:val="00306D35"/>
    <w:rsid w:val="00307311"/>
    <w:rsid w:val="003079DF"/>
    <w:rsid w:val="00310D1F"/>
    <w:rsid w:val="00311023"/>
    <w:rsid w:val="003124DE"/>
    <w:rsid w:val="00313513"/>
    <w:rsid w:val="00313788"/>
    <w:rsid w:val="00314F54"/>
    <w:rsid w:val="003160B0"/>
    <w:rsid w:val="00316A6F"/>
    <w:rsid w:val="00316C9B"/>
    <w:rsid w:val="00321455"/>
    <w:rsid w:val="00323351"/>
    <w:rsid w:val="00323A5B"/>
    <w:rsid w:val="003248A7"/>
    <w:rsid w:val="003248AC"/>
    <w:rsid w:val="0032534C"/>
    <w:rsid w:val="003254EB"/>
    <w:rsid w:val="00325508"/>
    <w:rsid w:val="00327130"/>
    <w:rsid w:val="003325F1"/>
    <w:rsid w:val="0033293F"/>
    <w:rsid w:val="00340BE2"/>
    <w:rsid w:val="00341AC5"/>
    <w:rsid w:val="003423DD"/>
    <w:rsid w:val="00342817"/>
    <w:rsid w:val="00344119"/>
    <w:rsid w:val="00344F74"/>
    <w:rsid w:val="00346340"/>
    <w:rsid w:val="0034744F"/>
    <w:rsid w:val="003507EF"/>
    <w:rsid w:val="00350F66"/>
    <w:rsid w:val="003553E8"/>
    <w:rsid w:val="00361E98"/>
    <w:rsid w:val="00363AC3"/>
    <w:rsid w:val="003645BC"/>
    <w:rsid w:val="00364FC3"/>
    <w:rsid w:val="00365548"/>
    <w:rsid w:val="00365D70"/>
    <w:rsid w:val="00367555"/>
    <w:rsid w:val="00367A5A"/>
    <w:rsid w:val="003704B7"/>
    <w:rsid w:val="003706F1"/>
    <w:rsid w:val="00372BBC"/>
    <w:rsid w:val="003732E5"/>
    <w:rsid w:val="003741D2"/>
    <w:rsid w:val="003744BF"/>
    <w:rsid w:val="003751E8"/>
    <w:rsid w:val="00375472"/>
    <w:rsid w:val="00376B22"/>
    <w:rsid w:val="00380716"/>
    <w:rsid w:val="003849E7"/>
    <w:rsid w:val="00384E58"/>
    <w:rsid w:val="00387DDE"/>
    <w:rsid w:val="003929FE"/>
    <w:rsid w:val="00394715"/>
    <w:rsid w:val="00395D46"/>
    <w:rsid w:val="00396DF8"/>
    <w:rsid w:val="00397B0A"/>
    <w:rsid w:val="003A254D"/>
    <w:rsid w:val="003A2A84"/>
    <w:rsid w:val="003A2C30"/>
    <w:rsid w:val="003A38CA"/>
    <w:rsid w:val="003A7511"/>
    <w:rsid w:val="003B0546"/>
    <w:rsid w:val="003B22BC"/>
    <w:rsid w:val="003B22D9"/>
    <w:rsid w:val="003B2CFF"/>
    <w:rsid w:val="003B40E2"/>
    <w:rsid w:val="003B4A65"/>
    <w:rsid w:val="003B6523"/>
    <w:rsid w:val="003B68AE"/>
    <w:rsid w:val="003B70B6"/>
    <w:rsid w:val="003C06B4"/>
    <w:rsid w:val="003C0742"/>
    <w:rsid w:val="003C0F13"/>
    <w:rsid w:val="003C1ADF"/>
    <w:rsid w:val="003C7B65"/>
    <w:rsid w:val="003D18DD"/>
    <w:rsid w:val="003D390B"/>
    <w:rsid w:val="003D51B8"/>
    <w:rsid w:val="003D56BA"/>
    <w:rsid w:val="003D7505"/>
    <w:rsid w:val="003E25FA"/>
    <w:rsid w:val="003E3F36"/>
    <w:rsid w:val="003E520B"/>
    <w:rsid w:val="003E5BDB"/>
    <w:rsid w:val="003E72B7"/>
    <w:rsid w:val="003E79CE"/>
    <w:rsid w:val="003E7C6D"/>
    <w:rsid w:val="003E7DCE"/>
    <w:rsid w:val="003F06DE"/>
    <w:rsid w:val="003F0D32"/>
    <w:rsid w:val="003F1C7B"/>
    <w:rsid w:val="003F2C6C"/>
    <w:rsid w:val="003F3467"/>
    <w:rsid w:val="003F5483"/>
    <w:rsid w:val="003F7AC0"/>
    <w:rsid w:val="003F7B57"/>
    <w:rsid w:val="00401808"/>
    <w:rsid w:val="0040227E"/>
    <w:rsid w:val="004052CA"/>
    <w:rsid w:val="0040539E"/>
    <w:rsid w:val="004054DB"/>
    <w:rsid w:val="00405AC1"/>
    <w:rsid w:val="004060ED"/>
    <w:rsid w:val="0040798B"/>
    <w:rsid w:val="00411176"/>
    <w:rsid w:val="004135BD"/>
    <w:rsid w:val="00413B6E"/>
    <w:rsid w:val="00417DE7"/>
    <w:rsid w:val="00421DCC"/>
    <w:rsid w:val="00422256"/>
    <w:rsid w:val="004243F7"/>
    <w:rsid w:val="004247C3"/>
    <w:rsid w:val="00424E56"/>
    <w:rsid w:val="00425DB5"/>
    <w:rsid w:val="004262AE"/>
    <w:rsid w:val="00426CA0"/>
    <w:rsid w:val="0042764B"/>
    <w:rsid w:val="0043078F"/>
    <w:rsid w:val="004316CE"/>
    <w:rsid w:val="0043211F"/>
    <w:rsid w:val="00432D77"/>
    <w:rsid w:val="0043518D"/>
    <w:rsid w:val="00435A87"/>
    <w:rsid w:val="00435C70"/>
    <w:rsid w:val="0044080C"/>
    <w:rsid w:val="00441C2D"/>
    <w:rsid w:val="00442695"/>
    <w:rsid w:val="00446364"/>
    <w:rsid w:val="00446697"/>
    <w:rsid w:val="00447F19"/>
    <w:rsid w:val="0045027E"/>
    <w:rsid w:val="00452252"/>
    <w:rsid w:val="00452B7B"/>
    <w:rsid w:val="0045305B"/>
    <w:rsid w:val="00453FBE"/>
    <w:rsid w:val="004553D7"/>
    <w:rsid w:val="00456D51"/>
    <w:rsid w:val="00457699"/>
    <w:rsid w:val="00457A35"/>
    <w:rsid w:val="00457CC7"/>
    <w:rsid w:val="00461BC7"/>
    <w:rsid w:val="004623C9"/>
    <w:rsid w:val="004673C0"/>
    <w:rsid w:val="0046752A"/>
    <w:rsid w:val="00471550"/>
    <w:rsid w:val="00471B90"/>
    <w:rsid w:val="0047276E"/>
    <w:rsid w:val="00474A40"/>
    <w:rsid w:val="00475873"/>
    <w:rsid w:val="00476745"/>
    <w:rsid w:val="004770DE"/>
    <w:rsid w:val="004817A0"/>
    <w:rsid w:val="004818DC"/>
    <w:rsid w:val="004834BB"/>
    <w:rsid w:val="00483C6F"/>
    <w:rsid w:val="00484334"/>
    <w:rsid w:val="00484CE5"/>
    <w:rsid w:val="00486B02"/>
    <w:rsid w:val="004878D6"/>
    <w:rsid w:val="00493A8E"/>
    <w:rsid w:val="004953F5"/>
    <w:rsid w:val="004962BC"/>
    <w:rsid w:val="004975A1"/>
    <w:rsid w:val="004A0C1A"/>
    <w:rsid w:val="004A22F1"/>
    <w:rsid w:val="004A73A9"/>
    <w:rsid w:val="004B0F6F"/>
    <w:rsid w:val="004B214A"/>
    <w:rsid w:val="004B3AEE"/>
    <w:rsid w:val="004C1C02"/>
    <w:rsid w:val="004C24AC"/>
    <w:rsid w:val="004C3C57"/>
    <w:rsid w:val="004C50F7"/>
    <w:rsid w:val="004C520F"/>
    <w:rsid w:val="004D0799"/>
    <w:rsid w:val="004D39FE"/>
    <w:rsid w:val="004D46B6"/>
    <w:rsid w:val="004D4890"/>
    <w:rsid w:val="004D4AC6"/>
    <w:rsid w:val="004D5C6B"/>
    <w:rsid w:val="004E5202"/>
    <w:rsid w:val="004E54AA"/>
    <w:rsid w:val="004E596D"/>
    <w:rsid w:val="004E77B2"/>
    <w:rsid w:val="004F0729"/>
    <w:rsid w:val="004F1F15"/>
    <w:rsid w:val="004F31D8"/>
    <w:rsid w:val="004F3DFD"/>
    <w:rsid w:val="004F44E1"/>
    <w:rsid w:val="004F5752"/>
    <w:rsid w:val="004F61AA"/>
    <w:rsid w:val="004F6E00"/>
    <w:rsid w:val="004F71B9"/>
    <w:rsid w:val="005005A1"/>
    <w:rsid w:val="0050070B"/>
    <w:rsid w:val="00501E34"/>
    <w:rsid w:val="005055B5"/>
    <w:rsid w:val="00505C69"/>
    <w:rsid w:val="00507BB2"/>
    <w:rsid w:val="00513257"/>
    <w:rsid w:val="00514A11"/>
    <w:rsid w:val="00515543"/>
    <w:rsid w:val="00515F3D"/>
    <w:rsid w:val="00515FAC"/>
    <w:rsid w:val="00517C2B"/>
    <w:rsid w:val="00521E02"/>
    <w:rsid w:val="005235C2"/>
    <w:rsid w:val="00523B97"/>
    <w:rsid w:val="0052443D"/>
    <w:rsid w:val="005247CF"/>
    <w:rsid w:val="00524B42"/>
    <w:rsid w:val="0052643F"/>
    <w:rsid w:val="00526BEA"/>
    <w:rsid w:val="00530201"/>
    <w:rsid w:val="005340D3"/>
    <w:rsid w:val="005352EE"/>
    <w:rsid w:val="00536874"/>
    <w:rsid w:val="00537478"/>
    <w:rsid w:val="0054192D"/>
    <w:rsid w:val="00545DBC"/>
    <w:rsid w:val="00546001"/>
    <w:rsid w:val="0055119B"/>
    <w:rsid w:val="00551D5F"/>
    <w:rsid w:val="00552219"/>
    <w:rsid w:val="00552283"/>
    <w:rsid w:val="005554C0"/>
    <w:rsid w:val="00555FBE"/>
    <w:rsid w:val="00560050"/>
    <w:rsid w:val="005616C8"/>
    <w:rsid w:val="0056212D"/>
    <w:rsid w:val="00563488"/>
    <w:rsid w:val="00564BB7"/>
    <w:rsid w:val="00564E3B"/>
    <w:rsid w:val="00565AE0"/>
    <w:rsid w:val="00565DA1"/>
    <w:rsid w:val="00567124"/>
    <w:rsid w:val="00567EA2"/>
    <w:rsid w:val="005703AE"/>
    <w:rsid w:val="00570C88"/>
    <w:rsid w:val="00572152"/>
    <w:rsid w:val="005747E0"/>
    <w:rsid w:val="0057546F"/>
    <w:rsid w:val="00577101"/>
    <w:rsid w:val="005776C8"/>
    <w:rsid w:val="005811F3"/>
    <w:rsid w:val="0058133D"/>
    <w:rsid w:val="00581660"/>
    <w:rsid w:val="0058412E"/>
    <w:rsid w:val="005852E6"/>
    <w:rsid w:val="005871FB"/>
    <w:rsid w:val="00592144"/>
    <w:rsid w:val="00593C50"/>
    <w:rsid w:val="00594EBE"/>
    <w:rsid w:val="00595661"/>
    <w:rsid w:val="005A3174"/>
    <w:rsid w:val="005A4EE5"/>
    <w:rsid w:val="005A557F"/>
    <w:rsid w:val="005A587D"/>
    <w:rsid w:val="005A5F72"/>
    <w:rsid w:val="005A6001"/>
    <w:rsid w:val="005A6937"/>
    <w:rsid w:val="005A7CE3"/>
    <w:rsid w:val="005B0AB7"/>
    <w:rsid w:val="005B0C6D"/>
    <w:rsid w:val="005B3710"/>
    <w:rsid w:val="005B466F"/>
    <w:rsid w:val="005C003E"/>
    <w:rsid w:val="005C0F2A"/>
    <w:rsid w:val="005C0FBD"/>
    <w:rsid w:val="005C1956"/>
    <w:rsid w:val="005C2EA1"/>
    <w:rsid w:val="005C31D0"/>
    <w:rsid w:val="005D0F7C"/>
    <w:rsid w:val="005D1837"/>
    <w:rsid w:val="005D20A7"/>
    <w:rsid w:val="005D35C2"/>
    <w:rsid w:val="005D3BD4"/>
    <w:rsid w:val="005D5955"/>
    <w:rsid w:val="005D75DC"/>
    <w:rsid w:val="005D79AC"/>
    <w:rsid w:val="005E0445"/>
    <w:rsid w:val="005E2002"/>
    <w:rsid w:val="005E3018"/>
    <w:rsid w:val="005E3661"/>
    <w:rsid w:val="005E44ED"/>
    <w:rsid w:val="005E461F"/>
    <w:rsid w:val="005E4B70"/>
    <w:rsid w:val="005E5D1D"/>
    <w:rsid w:val="005E6302"/>
    <w:rsid w:val="005E7602"/>
    <w:rsid w:val="005E7EEB"/>
    <w:rsid w:val="005F1579"/>
    <w:rsid w:val="005F3C07"/>
    <w:rsid w:val="005F55E0"/>
    <w:rsid w:val="00601122"/>
    <w:rsid w:val="00602393"/>
    <w:rsid w:val="006034BD"/>
    <w:rsid w:val="0060435D"/>
    <w:rsid w:val="00606333"/>
    <w:rsid w:val="0061049F"/>
    <w:rsid w:val="0061056B"/>
    <w:rsid w:val="0061064F"/>
    <w:rsid w:val="0061123D"/>
    <w:rsid w:val="00614774"/>
    <w:rsid w:val="00614F86"/>
    <w:rsid w:val="00614FAC"/>
    <w:rsid w:val="00615EFE"/>
    <w:rsid w:val="00616B6B"/>
    <w:rsid w:val="0062211D"/>
    <w:rsid w:val="00623605"/>
    <w:rsid w:val="0062478E"/>
    <w:rsid w:val="006248F9"/>
    <w:rsid w:val="006255BE"/>
    <w:rsid w:val="006258C5"/>
    <w:rsid w:val="00626D15"/>
    <w:rsid w:val="0062729F"/>
    <w:rsid w:val="0063196D"/>
    <w:rsid w:val="006319D7"/>
    <w:rsid w:val="00631CA5"/>
    <w:rsid w:val="0063636A"/>
    <w:rsid w:val="00636BDC"/>
    <w:rsid w:val="006404A8"/>
    <w:rsid w:val="00640AC0"/>
    <w:rsid w:val="00643857"/>
    <w:rsid w:val="00643BCB"/>
    <w:rsid w:val="00644229"/>
    <w:rsid w:val="00644338"/>
    <w:rsid w:val="00644D77"/>
    <w:rsid w:val="00647989"/>
    <w:rsid w:val="00650369"/>
    <w:rsid w:val="00650CD8"/>
    <w:rsid w:val="006512E0"/>
    <w:rsid w:val="006558D6"/>
    <w:rsid w:val="00656DA1"/>
    <w:rsid w:val="006577A1"/>
    <w:rsid w:val="00657C8E"/>
    <w:rsid w:val="00657C9C"/>
    <w:rsid w:val="00662E8B"/>
    <w:rsid w:val="00670109"/>
    <w:rsid w:val="00671A31"/>
    <w:rsid w:val="00673B97"/>
    <w:rsid w:val="0067477E"/>
    <w:rsid w:val="00675558"/>
    <w:rsid w:val="00676531"/>
    <w:rsid w:val="00676BBC"/>
    <w:rsid w:val="00676EA5"/>
    <w:rsid w:val="00682552"/>
    <w:rsid w:val="006852FD"/>
    <w:rsid w:val="00686617"/>
    <w:rsid w:val="00686D38"/>
    <w:rsid w:val="00690698"/>
    <w:rsid w:val="00693481"/>
    <w:rsid w:val="00694684"/>
    <w:rsid w:val="00694AB8"/>
    <w:rsid w:val="006956D6"/>
    <w:rsid w:val="006969C5"/>
    <w:rsid w:val="006A118C"/>
    <w:rsid w:val="006A39D6"/>
    <w:rsid w:val="006A3BA2"/>
    <w:rsid w:val="006A653F"/>
    <w:rsid w:val="006B1BBF"/>
    <w:rsid w:val="006B437E"/>
    <w:rsid w:val="006B524E"/>
    <w:rsid w:val="006B711B"/>
    <w:rsid w:val="006B7178"/>
    <w:rsid w:val="006C048C"/>
    <w:rsid w:val="006C2CBE"/>
    <w:rsid w:val="006C30DE"/>
    <w:rsid w:val="006C3ADA"/>
    <w:rsid w:val="006C5AF6"/>
    <w:rsid w:val="006C64D9"/>
    <w:rsid w:val="006C691F"/>
    <w:rsid w:val="006D01B8"/>
    <w:rsid w:val="006D33F8"/>
    <w:rsid w:val="006D4862"/>
    <w:rsid w:val="006D6560"/>
    <w:rsid w:val="006D658B"/>
    <w:rsid w:val="006D66F6"/>
    <w:rsid w:val="006D6CE9"/>
    <w:rsid w:val="006D768B"/>
    <w:rsid w:val="006E2528"/>
    <w:rsid w:val="006E2C69"/>
    <w:rsid w:val="006E30E6"/>
    <w:rsid w:val="006E3636"/>
    <w:rsid w:val="006E4D63"/>
    <w:rsid w:val="006E4D8D"/>
    <w:rsid w:val="006E5130"/>
    <w:rsid w:val="006E55DE"/>
    <w:rsid w:val="006E7D0B"/>
    <w:rsid w:val="006F0E86"/>
    <w:rsid w:val="006F1167"/>
    <w:rsid w:val="006F3059"/>
    <w:rsid w:val="006F37CC"/>
    <w:rsid w:val="006F3E90"/>
    <w:rsid w:val="006F5828"/>
    <w:rsid w:val="006F5FB2"/>
    <w:rsid w:val="00700C72"/>
    <w:rsid w:val="007031CD"/>
    <w:rsid w:val="00703F0E"/>
    <w:rsid w:val="00704473"/>
    <w:rsid w:val="00704E5F"/>
    <w:rsid w:val="00705217"/>
    <w:rsid w:val="007063C8"/>
    <w:rsid w:val="00707F9B"/>
    <w:rsid w:val="0071116C"/>
    <w:rsid w:val="007124DE"/>
    <w:rsid w:val="007134B6"/>
    <w:rsid w:val="007139C6"/>
    <w:rsid w:val="00715397"/>
    <w:rsid w:val="00717316"/>
    <w:rsid w:val="007216EA"/>
    <w:rsid w:val="00726CE5"/>
    <w:rsid w:val="007270F1"/>
    <w:rsid w:val="00730FC3"/>
    <w:rsid w:val="00731EA5"/>
    <w:rsid w:val="00732B04"/>
    <w:rsid w:val="00733896"/>
    <w:rsid w:val="007346C7"/>
    <w:rsid w:val="007353D7"/>
    <w:rsid w:val="007367CC"/>
    <w:rsid w:val="007409A8"/>
    <w:rsid w:val="00742287"/>
    <w:rsid w:val="00743A78"/>
    <w:rsid w:val="00746DEF"/>
    <w:rsid w:val="00746EEC"/>
    <w:rsid w:val="00754D62"/>
    <w:rsid w:val="00755E71"/>
    <w:rsid w:val="00756C97"/>
    <w:rsid w:val="00762568"/>
    <w:rsid w:val="00762570"/>
    <w:rsid w:val="007632F7"/>
    <w:rsid w:val="007654AC"/>
    <w:rsid w:val="007665A8"/>
    <w:rsid w:val="007672C5"/>
    <w:rsid w:val="00767569"/>
    <w:rsid w:val="007703A7"/>
    <w:rsid w:val="0077249E"/>
    <w:rsid w:val="0077416C"/>
    <w:rsid w:val="00776B5B"/>
    <w:rsid w:val="00776F73"/>
    <w:rsid w:val="00780BAF"/>
    <w:rsid w:val="00782081"/>
    <w:rsid w:val="007844B7"/>
    <w:rsid w:val="007875CE"/>
    <w:rsid w:val="007877BD"/>
    <w:rsid w:val="00787AD1"/>
    <w:rsid w:val="00791300"/>
    <w:rsid w:val="007916C0"/>
    <w:rsid w:val="007955F7"/>
    <w:rsid w:val="007A0697"/>
    <w:rsid w:val="007A1D18"/>
    <w:rsid w:val="007A28F0"/>
    <w:rsid w:val="007A4F54"/>
    <w:rsid w:val="007A51FF"/>
    <w:rsid w:val="007A5C1E"/>
    <w:rsid w:val="007B1114"/>
    <w:rsid w:val="007B1349"/>
    <w:rsid w:val="007B3ACD"/>
    <w:rsid w:val="007B4907"/>
    <w:rsid w:val="007B6B16"/>
    <w:rsid w:val="007C1681"/>
    <w:rsid w:val="007C2288"/>
    <w:rsid w:val="007C276C"/>
    <w:rsid w:val="007C2AB0"/>
    <w:rsid w:val="007C3384"/>
    <w:rsid w:val="007C4D56"/>
    <w:rsid w:val="007C66D9"/>
    <w:rsid w:val="007C685D"/>
    <w:rsid w:val="007D254F"/>
    <w:rsid w:val="007D3823"/>
    <w:rsid w:val="007D3CB8"/>
    <w:rsid w:val="007D45B0"/>
    <w:rsid w:val="007D54D5"/>
    <w:rsid w:val="007D5FE7"/>
    <w:rsid w:val="007D6B56"/>
    <w:rsid w:val="007D798A"/>
    <w:rsid w:val="007E12EA"/>
    <w:rsid w:val="007E5507"/>
    <w:rsid w:val="007E5D04"/>
    <w:rsid w:val="007E71DB"/>
    <w:rsid w:val="007F211D"/>
    <w:rsid w:val="007F2426"/>
    <w:rsid w:val="007F3E0F"/>
    <w:rsid w:val="007F7BF4"/>
    <w:rsid w:val="00800DF4"/>
    <w:rsid w:val="00801543"/>
    <w:rsid w:val="00801A59"/>
    <w:rsid w:val="00802067"/>
    <w:rsid w:val="008042A4"/>
    <w:rsid w:val="008049CD"/>
    <w:rsid w:val="0081420C"/>
    <w:rsid w:val="008152D6"/>
    <w:rsid w:val="00815643"/>
    <w:rsid w:val="00815A9A"/>
    <w:rsid w:val="00816078"/>
    <w:rsid w:val="008160BB"/>
    <w:rsid w:val="008162E2"/>
    <w:rsid w:val="00817EED"/>
    <w:rsid w:val="00820043"/>
    <w:rsid w:val="008210D3"/>
    <w:rsid w:val="00827DA8"/>
    <w:rsid w:val="008326CC"/>
    <w:rsid w:val="00840667"/>
    <w:rsid w:val="00842618"/>
    <w:rsid w:val="00843C8F"/>
    <w:rsid w:val="00844498"/>
    <w:rsid w:val="00845BBB"/>
    <w:rsid w:val="00845F57"/>
    <w:rsid w:val="008460B5"/>
    <w:rsid w:val="0084627A"/>
    <w:rsid w:val="008468D7"/>
    <w:rsid w:val="00846EA1"/>
    <w:rsid w:val="00850267"/>
    <w:rsid w:val="008507C7"/>
    <w:rsid w:val="00852172"/>
    <w:rsid w:val="00854101"/>
    <w:rsid w:val="00854A05"/>
    <w:rsid w:val="00855C8F"/>
    <w:rsid w:val="00856AFC"/>
    <w:rsid w:val="00856E8E"/>
    <w:rsid w:val="008616E4"/>
    <w:rsid w:val="00866ADB"/>
    <w:rsid w:val="0086796A"/>
    <w:rsid w:val="00870278"/>
    <w:rsid w:val="00870C46"/>
    <w:rsid w:val="00872047"/>
    <w:rsid w:val="008743F3"/>
    <w:rsid w:val="00877A3B"/>
    <w:rsid w:val="00877C34"/>
    <w:rsid w:val="00881307"/>
    <w:rsid w:val="008822BB"/>
    <w:rsid w:val="0088272E"/>
    <w:rsid w:val="008834F5"/>
    <w:rsid w:val="00883BFF"/>
    <w:rsid w:val="00887F97"/>
    <w:rsid w:val="008902CC"/>
    <w:rsid w:val="0089037F"/>
    <w:rsid w:val="008921CF"/>
    <w:rsid w:val="00892393"/>
    <w:rsid w:val="008928A1"/>
    <w:rsid w:val="00893B5B"/>
    <w:rsid w:val="008942E0"/>
    <w:rsid w:val="008965E4"/>
    <w:rsid w:val="008A09DE"/>
    <w:rsid w:val="008A3650"/>
    <w:rsid w:val="008A4112"/>
    <w:rsid w:val="008A4985"/>
    <w:rsid w:val="008A511A"/>
    <w:rsid w:val="008A542D"/>
    <w:rsid w:val="008A69A3"/>
    <w:rsid w:val="008A70B0"/>
    <w:rsid w:val="008A7249"/>
    <w:rsid w:val="008B0BE3"/>
    <w:rsid w:val="008B3178"/>
    <w:rsid w:val="008B3CE2"/>
    <w:rsid w:val="008B48C6"/>
    <w:rsid w:val="008B61F1"/>
    <w:rsid w:val="008B7A1D"/>
    <w:rsid w:val="008B7C69"/>
    <w:rsid w:val="008C3D4F"/>
    <w:rsid w:val="008C4335"/>
    <w:rsid w:val="008C5664"/>
    <w:rsid w:val="008C5A29"/>
    <w:rsid w:val="008C61D6"/>
    <w:rsid w:val="008D0999"/>
    <w:rsid w:val="008D0E63"/>
    <w:rsid w:val="008D1DE2"/>
    <w:rsid w:val="008D4A79"/>
    <w:rsid w:val="008D4D09"/>
    <w:rsid w:val="008D6E19"/>
    <w:rsid w:val="008E00AB"/>
    <w:rsid w:val="008E146F"/>
    <w:rsid w:val="008E268D"/>
    <w:rsid w:val="008E4344"/>
    <w:rsid w:val="008E4736"/>
    <w:rsid w:val="008E5A20"/>
    <w:rsid w:val="008F17C0"/>
    <w:rsid w:val="008F25CC"/>
    <w:rsid w:val="008F4064"/>
    <w:rsid w:val="008F464E"/>
    <w:rsid w:val="008F5F4B"/>
    <w:rsid w:val="008F6556"/>
    <w:rsid w:val="00901301"/>
    <w:rsid w:val="0090130F"/>
    <w:rsid w:val="00901DEF"/>
    <w:rsid w:val="0090204B"/>
    <w:rsid w:val="009036A5"/>
    <w:rsid w:val="009041CD"/>
    <w:rsid w:val="00904AAC"/>
    <w:rsid w:val="00906C3C"/>
    <w:rsid w:val="00910F67"/>
    <w:rsid w:val="009127D6"/>
    <w:rsid w:val="00916502"/>
    <w:rsid w:val="00916EE6"/>
    <w:rsid w:val="00920152"/>
    <w:rsid w:val="009220F4"/>
    <w:rsid w:val="0092286B"/>
    <w:rsid w:val="00923480"/>
    <w:rsid w:val="00923CA3"/>
    <w:rsid w:val="00924FEB"/>
    <w:rsid w:val="00925026"/>
    <w:rsid w:val="009264E1"/>
    <w:rsid w:val="009265D3"/>
    <w:rsid w:val="00926E72"/>
    <w:rsid w:val="0092746D"/>
    <w:rsid w:val="00927831"/>
    <w:rsid w:val="0092789F"/>
    <w:rsid w:val="009311F2"/>
    <w:rsid w:val="0093120D"/>
    <w:rsid w:val="00931FF3"/>
    <w:rsid w:val="00932F01"/>
    <w:rsid w:val="0093382C"/>
    <w:rsid w:val="00935F11"/>
    <w:rsid w:val="00940609"/>
    <w:rsid w:val="0094208E"/>
    <w:rsid w:val="009439F4"/>
    <w:rsid w:val="009450BA"/>
    <w:rsid w:val="00945205"/>
    <w:rsid w:val="009452F7"/>
    <w:rsid w:val="00945EA1"/>
    <w:rsid w:val="00946466"/>
    <w:rsid w:val="00950E82"/>
    <w:rsid w:val="00951713"/>
    <w:rsid w:val="00953B9C"/>
    <w:rsid w:val="00954E48"/>
    <w:rsid w:val="0095509A"/>
    <w:rsid w:val="00955DD8"/>
    <w:rsid w:val="009573F3"/>
    <w:rsid w:val="00962193"/>
    <w:rsid w:val="00962407"/>
    <w:rsid w:val="00962C76"/>
    <w:rsid w:val="009637D9"/>
    <w:rsid w:val="00963D49"/>
    <w:rsid w:val="00964B5A"/>
    <w:rsid w:val="0096589A"/>
    <w:rsid w:val="00967BED"/>
    <w:rsid w:val="009700A1"/>
    <w:rsid w:val="00970226"/>
    <w:rsid w:val="009710CD"/>
    <w:rsid w:val="009716E1"/>
    <w:rsid w:val="00971A12"/>
    <w:rsid w:val="00971BE5"/>
    <w:rsid w:val="00973D56"/>
    <w:rsid w:val="00977B05"/>
    <w:rsid w:val="00980EB9"/>
    <w:rsid w:val="009825D5"/>
    <w:rsid w:val="00987B43"/>
    <w:rsid w:val="009903B7"/>
    <w:rsid w:val="009904E4"/>
    <w:rsid w:val="00996640"/>
    <w:rsid w:val="009974AF"/>
    <w:rsid w:val="0099766A"/>
    <w:rsid w:val="009A0200"/>
    <w:rsid w:val="009A1DA4"/>
    <w:rsid w:val="009A1DF5"/>
    <w:rsid w:val="009A4B86"/>
    <w:rsid w:val="009A4C06"/>
    <w:rsid w:val="009A77AD"/>
    <w:rsid w:val="009A7C59"/>
    <w:rsid w:val="009B065E"/>
    <w:rsid w:val="009B148A"/>
    <w:rsid w:val="009B42D9"/>
    <w:rsid w:val="009B49AB"/>
    <w:rsid w:val="009B59E1"/>
    <w:rsid w:val="009B7110"/>
    <w:rsid w:val="009C1001"/>
    <w:rsid w:val="009C3D45"/>
    <w:rsid w:val="009C4568"/>
    <w:rsid w:val="009C47DD"/>
    <w:rsid w:val="009C4D4C"/>
    <w:rsid w:val="009C53F7"/>
    <w:rsid w:val="009C7350"/>
    <w:rsid w:val="009C76A1"/>
    <w:rsid w:val="009D2B96"/>
    <w:rsid w:val="009D2EAF"/>
    <w:rsid w:val="009D4299"/>
    <w:rsid w:val="009D6B32"/>
    <w:rsid w:val="009E1B2F"/>
    <w:rsid w:val="009E285E"/>
    <w:rsid w:val="009E4C5B"/>
    <w:rsid w:val="009E5187"/>
    <w:rsid w:val="009E6AC9"/>
    <w:rsid w:val="009E6B93"/>
    <w:rsid w:val="009E7368"/>
    <w:rsid w:val="009E7418"/>
    <w:rsid w:val="009F3CCF"/>
    <w:rsid w:val="009F47ED"/>
    <w:rsid w:val="009F74C3"/>
    <w:rsid w:val="00A0075B"/>
    <w:rsid w:val="00A02564"/>
    <w:rsid w:val="00A03E1F"/>
    <w:rsid w:val="00A05229"/>
    <w:rsid w:val="00A112D8"/>
    <w:rsid w:val="00A14980"/>
    <w:rsid w:val="00A14A15"/>
    <w:rsid w:val="00A14CD0"/>
    <w:rsid w:val="00A1538A"/>
    <w:rsid w:val="00A17854"/>
    <w:rsid w:val="00A206A1"/>
    <w:rsid w:val="00A20AF9"/>
    <w:rsid w:val="00A2172B"/>
    <w:rsid w:val="00A21852"/>
    <w:rsid w:val="00A21D32"/>
    <w:rsid w:val="00A24085"/>
    <w:rsid w:val="00A306F6"/>
    <w:rsid w:val="00A31CF6"/>
    <w:rsid w:val="00A344DE"/>
    <w:rsid w:val="00A34550"/>
    <w:rsid w:val="00A353D2"/>
    <w:rsid w:val="00A372BB"/>
    <w:rsid w:val="00A3748A"/>
    <w:rsid w:val="00A37508"/>
    <w:rsid w:val="00A37F8F"/>
    <w:rsid w:val="00A402BA"/>
    <w:rsid w:val="00A40AB6"/>
    <w:rsid w:val="00A43F99"/>
    <w:rsid w:val="00A461FC"/>
    <w:rsid w:val="00A46791"/>
    <w:rsid w:val="00A46F56"/>
    <w:rsid w:val="00A514AC"/>
    <w:rsid w:val="00A5191B"/>
    <w:rsid w:val="00A53849"/>
    <w:rsid w:val="00A54A7A"/>
    <w:rsid w:val="00A5565C"/>
    <w:rsid w:val="00A55F9C"/>
    <w:rsid w:val="00A56D92"/>
    <w:rsid w:val="00A57847"/>
    <w:rsid w:val="00A60182"/>
    <w:rsid w:val="00A604EC"/>
    <w:rsid w:val="00A623B9"/>
    <w:rsid w:val="00A63CF9"/>
    <w:rsid w:val="00A64BCD"/>
    <w:rsid w:val="00A6539B"/>
    <w:rsid w:val="00A76EBD"/>
    <w:rsid w:val="00A82735"/>
    <w:rsid w:val="00A850EC"/>
    <w:rsid w:val="00A859BB"/>
    <w:rsid w:val="00A85A72"/>
    <w:rsid w:val="00A91944"/>
    <w:rsid w:val="00A91F27"/>
    <w:rsid w:val="00A93A00"/>
    <w:rsid w:val="00A93B6B"/>
    <w:rsid w:val="00A93C2E"/>
    <w:rsid w:val="00A93EA9"/>
    <w:rsid w:val="00A9465E"/>
    <w:rsid w:val="00A97A00"/>
    <w:rsid w:val="00A97D75"/>
    <w:rsid w:val="00AA1F63"/>
    <w:rsid w:val="00AA234A"/>
    <w:rsid w:val="00AA27B1"/>
    <w:rsid w:val="00AA29AE"/>
    <w:rsid w:val="00AA45FC"/>
    <w:rsid w:val="00AA59D0"/>
    <w:rsid w:val="00AA6872"/>
    <w:rsid w:val="00AA77B3"/>
    <w:rsid w:val="00AB1E9D"/>
    <w:rsid w:val="00AB3C14"/>
    <w:rsid w:val="00AB448C"/>
    <w:rsid w:val="00AB6332"/>
    <w:rsid w:val="00AB7CFA"/>
    <w:rsid w:val="00AC4207"/>
    <w:rsid w:val="00AC639E"/>
    <w:rsid w:val="00AC6AE2"/>
    <w:rsid w:val="00AC703E"/>
    <w:rsid w:val="00AC7952"/>
    <w:rsid w:val="00AD0529"/>
    <w:rsid w:val="00AD1318"/>
    <w:rsid w:val="00AD2080"/>
    <w:rsid w:val="00AD6D7D"/>
    <w:rsid w:val="00AD7BE7"/>
    <w:rsid w:val="00AE047E"/>
    <w:rsid w:val="00AE3AF4"/>
    <w:rsid w:val="00AE3C52"/>
    <w:rsid w:val="00AE47CF"/>
    <w:rsid w:val="00AE5614"/>
    <w:rsid w:val="00AE71B9"/>
    <w:rsid w:val="00AF2047"/>
    <w:rsid w:val="00AF303D"/>
    <w:rsid w:val="00AF3AE0"/>
    <w:rsid w:val="00AF4728"/>
    <w:rsid w:val="00AF520F"/>
    <w:rsid w:val="00AF683E"/>
    <w:rsid w:val="00B004EF"/>
    <w:rsid w:val="00B043B6"/>
    <w:rsid w:val="00B0483C"/>
    <w:rsid w:val="00B06831"/>
    <w:rsid w:val="00B10E22"/>
    <w:rsid w:val="00B122CA"/>
    <w:rsid w:val="00B12392"/>
    <w:rsid w:val="00B129DC"/>
    <w:rsid w:val="00B13027"/>
    <w:rsid w:val="00B1382A"/>
    <w:rsid w:val="00B13DA1"/>
    <w:rsid w:val="00B14681"/>
    <w:rsid w:val="00B14786"/>
    <w:rsid w:val="00B176E7"/>
    <w:rsid w:val="00B2083A"/>
    <w:rsid w:val="00B20E54"/>
    <w:rsid w:val="00B21A22"/>
    <w:rsid w:val="00B23B42"/>
    <w:rsid w:val="00B25F1F"/>
    <w:rsid w:val="00B264E3"/>
    <w:rsid w:val="00B26C7A"/>
    <w:rsid w:val="00B27AC2"/>
    <w:rsid w:val="00B3028F"/>
    <w:rsid w:val="00B32771"/>
    <w:rsid w:val="00B33532"/>
    <w:rsid w:val="00B340D5"/>
    <w:rsid w:val="00B34478"/>
    <w:rsid w:val="00B402D4"/>
    <w:rsid w:val="00B410EC"/>
    <w:rsid w:val="00B41366"/>
    <w:rsid w:val="00B42576"/>
    <w:rsid w:val="00B44E72"/>
    <w:rsid w:val="00B45309"/>
    <w:rsid w:val="00B46308"/>
    <w:rsid w:val="00B47F44"/>
    <w:rsid w:val="00B50812"/>
    <w:rsid w:val="00B51B41"/>
    <w:rsid w:val="00B51C7B"/>
    <w:rsid w:val="00B51F89"/>
    <w:rsid w:val="00B52C92"/>
    <w:rsid w:val="00B53801"/>
    <w:rsid w:val="00B53CE6"/>
    <w:rsid w:val="00B54C4F"/>
    <w:rsid w:val="00B5603E"/>
    <w:rsid w:val="00B5708E"/>
    <w:rsid w:val="00B6116C"/>
    <w:rsid w:val="00B63930"/>
    <w:rsid w:val="00B66875"/>
    <w:rsid w:val="00B66B97"/>
    <w:rsid w:val="00B67709"/>
    <w:rsid w:val="00B71AB4"/>
    <w:rsid w:val="00B73BE1"/>
    <w:rsid w:val="00B760F1"/>
    <w:rsid w:val="00B77AF7"/>
    <w:rsid w:val="00B8138D"/>
    <w:rsid w:val="00B8312E"/>
    <w:rsid w:val="00B8542F"/>
    <w:rsid w:val="00B86578"/>
    <w:rsid w:val="00B873C5"/>
    <w:rsid w:val="00B90CE3"/>
    <w:rsid w:val="00B91C96"/>
    <w:rsid w:val="00B92F2F"/>
    <w:rsid w:val="00B95AB5"/>
    <w:rsid w:val="00B96480"/>
    <w:rsid w:val="00B970EE"/>
    <w:rsid w:val="00BB0F50"/>
    <w:rsid w:val="00BB0FC8"/>
    <w:rsid w:val="00BB1DC9"/>
    <w:rsid w:val="00BB2102"/>
    <w:rsid w:val="00BB2BE5"/>
    <w:rsid w:val="00BB2D59"/>
    <w:rsid w:val="00BB3A6A"/>
    <w:rsid w:val="00BB3AEA"/>
    <w:rsid w:val="00BB5970"/>
    <w:rsid w:val="00BB711D"/>
    <w:rsid w:val="00BC0352"/>
    <w:rsid w:val="00BC2699"/>
    <w:rsid w:val="00BC2F13"/>
    <w:rsid w:val="00BC6FC6"/>
    <w:rsid w:val="00BC7253"/>
    <w:rsid w:val="00BC7470"/>
    <w:rsid w:val="00BC750D"/>
    <w:rsid w:val="00BD303C"/>
    <w:rsid w:val="00BD43BE"/>
    <w:rsid w:val="00BD4681"/>
    <w:rsid w:val="00BD5796"/>
    <w:rsid w:val="00BD5C96"/>
    <w:rsid w:val="00BE1429"/>
    <w:rsid w:val="00BE1DF8"/>
    <w:rsid w:val="00BE30EE"/>
    <w:rsid w:val="00BE5782"/>
    <w:rsid w:val="00BE5B05"/>
    <w:rsid w:val="00BE5D28"/>
    <w:rsid w:val="00BE6191"/>
    <w:rsid w:val="00BF17A1"/>
    <w:rsid w:val="00BF3B16"/>
    <w:rsid w:val="00BF5F70"/>
    <w:rsid w:val="00C0049E"/>
    <w:rsid w:val="00C00F4C"/>
    <w:rsid w:val="00C01715"/>
    <w:rsid w:val="00C1012F"/>
    <w:rsid w:val="00C10472"/>
    <w:rsid w:val="00C10726"/>
    <w:rsid w:val="00C112A5"/>
    <w:rsid w:val="00C113A7"/>
    <w:rsid w:val="00C115D0"/>
    <w:rsid w:val="00C11AFB"/>
    <w:rsid w:val="00C13253"/>
    <w:rsid w:val="00C13DCC"/>
    <w:rsid w:val="00C14891"/>
    <w:rsid w:val="00C14FA4"/>
    <w:rsid w:val="00C1523B"/>
    <w:rsid w:val="00C15A25"/>
    <w:rsid w:val="00C17BA8"/>
    <w:rsid w:val="00C20CF6"/>
    <w:rsid w:val="00C237FA"/>
    <w:rsid w:val="00C248B4"/>
    <w:rsid w:val="00C24DF0"/>
    <w:rsid w:val="00C2618E"/>
    <w:rsid w:val="00C26F96"/>
    <w:rsid w:val="00C32C0A"/>
    <w:rsid w:val="00C33FB0"/>
    <w:rsid w:val="00C344EF"/>
    <w:rsid w:val="00C353EA"/>
    <w:rsid w:val="00C35BD5"/>
    <w:rsid w:val="00C36C92"/>
    <w:rsid w:val="00C4048A"/>
    <w:rsid w:val="00C40AE2"/>
    <w:rsid w:val="00C41FC0"/>
    <w:rsid w:val="00C44552"/>
    <w:rsid w:val="00C452E9"/>
    <w:rsid w:val="00C455EB"/>
    <w:rsid w:val="00C47EB6"/>
    <w:rsid w:val="00C503A3"/>
    <w:rsid w:val="00C504EC"/>
    <w:rsid w:val="00C5073E"/>
    <w:rsid w:val="00C50F36"/>
    <w:rsid w:val="00C56032"/>
    <w:rsid w:val="00C57206"/>
    <w:rsid w:val="00C57E47"/>
    <w:rsid w:val="00C6071B"/>
    <w:rsid w:val="00C611EA"/>
    <w:rsid w:val="00C63D2F"/>
    <w:rsid w:val="00C6401D"/>
    <w:rsid w:val="00C65D0B"/>
    <w:rsid w:val="00C672C5"/>
    <w:rsid w:val="00C67ADD"/>
    <w:rsid w:val="00C67F8A"/>
    <w:rsid w:val="00C707E2"/>
    <w:rsid w:val="00C720EF"/>
    <w:rsid w:val="00C751DA"/>
    <w:rsid w:val="00C7651A"/>
    <w:rsid w:val="00C768F9"/>
    <w:rsid w:val="00C77097"/>
    <w:rsid w:val="00C773A2"/>
    <w:rsid w:val="00C83B3F"/>
    <w:rsid w:val="00C8580E"/>
    <w:rsid w:val="00C870E2"/>
    <w:rsid w:val="00C87141"/>
    <w:rsid w:val="00C87D83"/>
    <w:rsid w:val="00C9016D"/>
    <w:rsid w:val="00C90A0A"/>
    <w:rsid w:val="00C914FC"/>
    <w:rsid w:val="00C92AA4"/>
    <w:rsid w:val="00C930DF"/>
    <w:rsid w:val="00C94605"/>
    <w:rsid w:val="00C96751"/>
    <w:rsid w:val="00C97626"/>
    <w:rsid w:val="00C979C4"/>
    <w:rsid w:val="00CA3258"/>
    <w:rsid w:val="00CA3CE7"/>
    <w:rsid w:val="00CA5019"/>
    <w:rsid w:val="00CB014B"/>
    <w:rsid w:val="00CB0C83"/>
    <w:rsid w:val="00CB0F05"/>
    <w:rsid w:val="00CB1580"/>
    <w:rsid w:val="00CB5D56"/>
    <w:rsid w:val="00CC05FF"/>
    <w:rsid w:val="00CC1970"/>
    <w:rsid w:val="00CC37D0"/>
    <w:rsid w:val="00CC3B7F"/>
    <w:rsid w:val="00CC3DAA"/>
    <w:rsid w:val="00CC5530"/>
    <w:rsid w:val="00CC62D0"/>
    <w:rsid w:val="00CC662E"/>
    <w:rsid w:val="00CD507C"/>
    <w:rsid w:val="00CD6C94"/>
    <w:rsid w:val="00CD7CEB"/>
    <w:rsid w:val="00CE007E"/>
    <w:rsid w:val="00CE42BD"/>
    <w:rsid w:val="00CE46FE"/>
    <w:rsid w:val="00CF2E9D"/>
    <w:rsid w:val="00CF3044"/>
    <w:rsid w:val="00CF35E3"/>
    <w:rsid w:val="00CF45CD"/>
    <w:rsid w:val="00CF76E9"/>
    <w:rsid w:val="00D00008"/>
    <w:rsid w:val="00D030D6"/>
    <w:rsid w:val="00D04D73"/>
    <w:rsid w:val="00D05374"/>
    <w:rsid w:val="00D053FE"/>
    <w:rsid w:val="00D06577"/>
    <w:rsid w:val="00D06679"/>
    <w:rsid w:val="00D10329"/>
    <w:rsid w:val="00D125F6"/>
    <w:rsid w:val="00D127FC"/>
    <w:rsid w:val="00D15BC3"/>
    <w:rsid w:val="00D17BCD"/>
    <w:rsid w:val="00D20D6D"/>
    <w:rsid w:val="00D2297D"/>
    <w:rsid w:val="00D2359A"/>
    <w:rsid w:val="00D23A59"/>
    <w:rsid w:val="00D24EF2"/>
    <w:rsid w:val="00D2546A"/>
    <w:rsid w:val="00D27414"/>
    <w:rsid w:val="00D27C6C"/>
    <w:rsid w:val="00D30616"/>
    <w:rsid w:val="00D327C0"/>
    <w:rsid w:val="00D32FC6"/>
    <w:rsid w:val="00D346E7"/>
    <w:rsid w:val="00D36EBB"/>
    <w:rsid w:val="00D41720"/>
    <w:rsid w:val="00D42770"/>
    <w:rsid w:val="00D456F1"/>
    <w:rsid w:val="00D459E1"/>
    <w:rsid w:val="00D4630E"/>
    <w:rsid w:val="00D465FA"/>
    <w:rsid w:val="00D475C7"/>
    <w:rsid w:val="00D50499"/>
    <w:rsid w:val="00D54352"/>
    <w:rsid w:val="00D54B46"/>
    <w:rsid w:val="00D55A60"/>
    <w:rsid w:val="00D565E3"/>
    <w:rsid w:val="00D627E8"/>
    <w:rsid w:val="00D6448D"/>
    <w:rsid w:val="00D64B7F"/>
    <w:rsid w:val="00D6757E"/>
    <w:rsid w:val="00D70373"/>
    <w:rsid w:val="00D7091E"/>
    <w:rsid w:val="00D7112E"/>
    <w:rsid w:val="00D713D1"/>
    <w:rsid w:val="00D71CB2"/>
    <w:rsid w:val="00D73518"/>
    <w:rsid w:val="00D743FD"/>
    <w:rsid w:val="00D764D9"/>
    <w:rsid w:val="00D7671C"/>
    <w:rsid w:val="00D7793F"/>
    <w:rsid w:val="00D8189B"/>
    <w:rsid w:val="00D82017"/>
    <w:rsid w:val="00D825A3"/>
    <w:rsid w:val="00D84C40"/>
    <w:rsid w:val="00D8581E"/>
    <w:rsid w:val="00D8728F"/>
    <w:rsid w:val="00D90F93"/>
    <w:rsid w:val="00D91BB1"/>
    <w:rsid w:val="00D91C0D"/>
    <w:rsid w:val="00D92AA1"/>
    <w:rsid w:val="00D93558"/>
    <w:rsid w:val="00D93984"/>
    <w:rsid w:val="00D94D80"/>
    <w:rsid w:val="00D962F3"/>
    <w:rsid w:val="00D96604"/>
    <w:rsid w:val="00DA05F7"/>
    <w:rsid w:val="00DA1BD6"/>
    <w:rsid w:val="00DA22C3"/>
    <w:rsid w:val="00DA65B0"/>
    <w:rsid w:val="00DA6D74"/>
    <w:rsid w:val="00DA7671"/>
    <w:rsid w:val="00DB0782"/>
    <w:rsid w:val="00DB4AF4"/>
    <w:rsid w:val="00DB4D6B"/>
    <w:rsid w:val="00DB6209"/>
    <w:rsid w:val="00DB69B2"/>
    <w:rsid w:val="00DC00DF"/>
    <w:rsid w:val="00DC1549"/>
    <w:rsid w:val="00DC2D49"/>
    <w:rsid w:val="00DC37FE"/>
    <w:rsid w:val="00DC7E6E"/>
    <w:rsid w:val="00DD0E15"/>
    <w:rsid w:val="00DD24D0"/>
    <w:rsid w:val="00DD3D14"/>
    <w:rsid w:val="00DD41AB"/>
    <w:rsid w:val="00DD592C"/>
    <w:rsid w:val="00DE1C58"/>
    <w:rsid w:val="00DE205C"/>
    <w:rsid w:val="00DE23EB"/>
    <w:rsid w:val="00DE463C"/>
    <w:rsid w:val="00DE5B6D"/>
    <w:rsid w:val="00DE637A"/>
    <w:rsid w:val="00DF5F95"/>
    <w:rsid w:val="00DF5FF5"/>
    <w:rsid w:val="00E00DE5"/>
    <w:rsid w:val="00E03FA2"/>
    <w:rsid w:val="00E05730"/>
    <w:rsid w:val="00E05928"/>
    <w:rsid w:val="00E06CF3"/>
    <w:rsid w:val="00E071FE"/>
    <w:rsid w:val="00E111D3"/>
    <w:rsid w:val="00E12FD4"/>
    <w:rsid w:val="00E1446F"/>
    <w:rsid w:val="00E15222"/>
    <w:rsid w:val="00E16C2C"/>
    <w:rsid w:val="00E225FE"/>
    <w:rsid w:val="00E22E9A"/>
    <w:rsid w:val="00E23B5D"/>
    <w:rsid w:val="00E24DA3"/>
    <w:rsid w:val="00E25A18"/>
    <w:rsid w:val="00E26714"/>
    <w:rsid w:val="00E307C7"/>
    <w:rsid w:val="00E311A5"/>
    <w:rsid w:val="00E3309F"/>
    <w:rsid w:val="00E33817"/>
    <w:rsid w:val="00E352FF"/>
    <w:rsid w:val="00E36A1E"/>
    <w:rsid w:val="00E42597"/>
    <w:rsid w:val="00E42A2B"/>
    <w:rsid w:val="00E453A3"/>
    <w:rsid w:val="00E47F71"/>
    <w:rsid w:val="00E51390"/>
    <w:rsid w:val="00E54CAE"/>
    <w:rsid w:val="00E55196"/>
    <w:rsid w:val="00E5564D"/>
    <w:rsid w:val="00E55FC9"/>
    <w:rsid w:val="00E564DD"/>
    <w:rsid w:val="00E56888"/>
    <w:rsid w:val="00E603DB"/>
    <w:rsid w:val="00E6042C"/>
    <w:rsid w:val="00E60B1B"/>
    <w:rsid w:val="00E61AFD"/>
    <w:rsid w:val="00E64581"/>
    <w:rsid w:val="00E64A88"/>
    <w:rsid w:val="00E65B1A"/>
    <w:rsid w:val="00E66EB9"/>
    <w:rsid w:val="00E67F04"/>
    <w:rsid w:val="00E70A02"/>
    <w:rsid w:val="00E718C7"/>
    <w:rsid w:val="00E7212A"/>
    <w:rsid w:val="00E72D9E"/>
    <w:rsid w:val="00E74AB4"/>
    <w:rsid w:val="00E74DE0"/>
    <w:rsid w:val="00E75F26"/>
    <w:rsid w:val="00E850C5"/>
    <w:rsid w:val="00E85DEF"/>
    <w:rsid w:val="00E87511"/>
    <w:rsid w:val="00E90759"/>
    <w:rsid w:val="00E922BC"/>
    <w:rsid w:val="00E94D35"/>
    <w:rsid w:val="00E96C15"/>
    <w:rsid w:val="00EA309E"/>
    <w:rsid w:val="00EA4B57"/>
    <w:rsid w:val="00EA540D"/>
    <w:rsid w:val="00EA6310"/>
    <w:rsid w:val="00EA6CBE"/>
    <w:rsid w:val="00EA6DE5"/>
    <w:rsid w:val="00EB1414"/>
    <w:rsid w:val="00EB34CF"/>
    <w:rsid w:val="00EB3D4C"/>
    <w:rsid w:val="00EB3F3B"/>
    <w:rsid w:val="00EB4D77"/>
    <w:rsid w:val="00EB57B1"/>
    <w:rsid w:val="00EB5E09"/>
    <w:rsid w:val="00EB7012"/>
    <w:rsid w:val="00EB70D8"/>
    <w:rsid w:val="00EC269B"/>
    <w:rsid w:val="00EC2F91"/>
    <w:rsid w:val="00EC3595"/>
    <w:rsid w:val="00EC3B8B"/>
    <w:rsid w:val="00EC3BCC"/>
    <w:rsid w:val="00EC4D3E"/>
    <w:rsid w:val="00EC5F4B"/>
    <w:rsid w:val="00EC6B7B"/>
    <w:rsid w:val="00EC6C94"/>
    <w:rsid w:val="00EC73C6"/>
    <w:rsid w:val="00ED2099"/>
    <w:rsid w:val="00ED23B4"/>
    <w:rsid w:val="00ED2405"/>
    <w:rsid w:val="00ED2484"/>
    <w:rsid w:val="00ED3272"/>
    <w:rsid w:val="00ED3F6E"/>
    <w:rsid w:val="00ED43D4"/>
    <w:rsid w:val="00ED4D6F"/>
    <w:rsid w:val="00EE2753"/>
    <w:rsid w:val="00EE334D"/>
    <w:rsid w:val="00EE3D2F"/>
    <w:rsid w:val="00EE3D63"/>
    <w:rsid w:val="00EE65F3"/>
    <w:rsid w:val="00EF045A"/>
    <w:rsid w:val="00EF672C"/>
    <w:rsid w:val="00F0072F"/>
    <w:rsid w:val="00F02EEF"/>
    <w:rsid w:val="00F057D6"/>
    <w:rsid w:val="00F0598A"/>
    <w:rsid w:val="00F05CBD"/>
    <w:rsid w:val="00F05EAD"/>
    <w:rsid w:val="00F078E9"/>
    <w:rsid w:val="00F10425"/>
    <w:rsid w:val="00F1091B"/>
    <w:rsid w:val="00F11201"/>
    <w:rsid w:val="00F11974"/>
    <w:rsid w:val="00F16619"/>
    <w:rsid w:val="00F21AF2"/>
    <w:rsid w:val="00F21EEE"/>
    <w:rsid w:val="00F24933"/>
    <w:rsid w:val="00F24BE5"/>
    <w:rsid w:val="00F31BD1"/>
    <w:rsid w:val="00F33AA9"/>
    <w:rsid w:val="00F33FE1"/>
    <w:rsid w:val="00F346AB"/>
    <w:rsid w:val="00F3543A"/>
    <w:rsid w:val="00F35BBD"/>
    <w:rsid w:val="00F41338"/>
    <w:rsid w:val="00F413A2"/>
    <w:rsid w:val="00F436D0"/>
    <w:rsid w:val="00F4613B"/>
    <w:rsid w:val="00F4656D"/>
    <w:rsid w:val="00F4667A"/>
    <w:rsid w:val="00F5064E"/>
    <w:rsid w:val="00F50D4E"/>
    <w:rsid w:val="00F54012"/>
    <w:rsid w:val="00F55139"/>
    <w:rsid w:val="00F57DB0"/>
    <w:rsid w:val="00F60784"/>
    <w:rsid w:val="00F61A58"/>
    <w:rsid w:val="00F61F5E"/>
    <w:rsid w:val="00F62EF1"/>
    <w:rsid w:val="00F6352C"/>
    <w:rsid w:val="00F65F43"/>
    <w:rsid w:val="00F662C2"/>
    <w:rsid w:val="00F6637E"/>
    <w:rsid w:val="00F66509"/>
    <w:rsid w:val="00F6674B"/>
    <w:rsid w:val="00F67A38"/>
    <w:rsid w:val="00F70402"/>
    <w:rsid w:val="00F7428E"/>
    <w:rsid w:val="00F76922"/>
    <w:rsid w:val="00F772B5"/>
    <w:rsid w:val="00F81B62"/>
    <w:rsid w:val="00F81C4E"/>
    <w:rsid w:val="00F83710"/>
    <w:rsid w:val="00F84F66"/>
    <w:rsid w:val="00F87980"/>
    <w:rsid w:val="00F87C8B"/>
    <w:rsid w:val="00F92DDC"/>
    <w:rsid w:val="00F93120"/>
    <w:rsid w:val="00F939A3"/>
    <w:rsid w:val="00F94EC5"/>
    <w:rsid w:val="00F956F0"/>
    <w:rsid w:val="00F963E8"/>
    <w:rsid w:val="00F96A3D"/>
    <w:rsid w:val="00F97F25"/>
    <w:rsid w:val="00FA6D64"/>
    <w:rsid w:val="00FA7C80"/>
    <w:rsid w:val="00FA7CCE"/>
    <w:rsid w:val="00FB2567"/>
    <w:rsid w:val="00FB26F6"/>
    <w:rsid w:val="00FC3890"/>
    <w:rsid w:val="00FC38FA"/>
    <w:rsid w:val="00FC4D77"/>
    <w:rsid w:val="00FC69EF"/>
    <w:rsid w:val="00FC78A3"/>
    <w:rsid w:val="00FC7935"/>
    <w:rsid w:val="00FD1610"/>
    <w:rsid w:val="00FD1F36"/>
    <w:rsid w:val="00FD2961"/>
    <w:rsid w:val="00FD37D2"/>
    <w:rsid w:val="00FD38FF"/>
    <w:rsid w:val="00FD4F2A"/>
    <w:rsid w:val="00FE2358"/>
    <w:rsid w:val="00FE2EFD"/>
    <w:rsid w:val="00FE439E"/>
    <w:rsid w:val="00FE4D53"/>
    <w:rsid w:val="00FE51B7"/>
    <w:rsid w:val="00FE5B48"/>
    <w:rsid w:val="00FE6AAE"/>
    <w:rsid w:val="00FE779A"/>
    <w:rsid w:val="00FF05EA"/>
    <w:rsid w:val="00FF1F03"/>
    <w:rsid w:val="00FF3884"/>
    <w:rsid w:val="00FF3936"/>
    <w:rsid w:val="00FF696D"/>
    <w:rsid w:val="00FF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D98F69"/>
  <w15:docId w15:val="{D376C49C-AEEF-482B-936E-25F55103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42F"/>
    <w:pPr>
      <w:spacing w:after="0" w:line="240" w:lineRule="auto"/>
      <w:jc w:val="both"/>
    </w:pPr>
    <w:rPr>
      <w:rFonts w:ascii="Arial" w:eastAsia="Times New Roman" w:hAnsi="Arial" w:cs="Arial"/>
      <w:sz w:val="18"/>
      <w:szCs w:val="18"/>
      <w:lang w:val="en-CA"/>
    </w:rPr>
  </w:style>
  <w:style w:type="paragraph" w:styleId="Heading1">
    <w:name w:val="heading 1"/>
    <w:basedOn w:val="NormalWeb"/>
    <w:next w:val="Normal"/>
    <w:link w:val="Heading1Char"/>
    <w:uiPriority w:val="9"/>
    <w:qFormat/>
    <w:rsid w:val="00327130"/>
    <w:pPr>
      <w:spacing w:before="0" w:beforeAutospacing="0" w:after="0" w:afterAutospacing="0" w:line="259" w:lineRule="auto"/>
      <w:ind w:right="-101"/>
      <w:outlineLvl w:val="0"/>
    </w:pPr>
    <w:rPr>
      <w:b/>
      <w:sz w:val="24"/>
      <w:szCs w:val="24"/>
    </w:rPr>
  </w:style>
  <w:style w:type="paragraph" w:styleId="Heading2">
    <w:name w:val="heading 2"/>
    <w:basedOn w:val="Normal"/>
    <w:next w:val="Normal"/>
    <w:link w:val="Heading2Char"/>
    <w:uiPriority w:val="9"/>
    <w:unhideWhenUsed/>
    <w:qFormat/>
    <w:rsid w:val="00B8542F"/>
    <w:pPr>
      <w:spacing w:line="259" w:lineRule="auto"/>
      <w:outlineLvl w:val="1"/>
    </w:pPr>
    <w:rPr>
      <w:rFonts w:eastAsiaTheme="minorHAnsi"/>
      <w:b/>
      <w:spacing w:val="-2"/>
      <w:sz w:val="20"/>
      <w:szCs w:val="20"/>
    </w:rPr>
  </w:style>
  <w:style w:type="paragraph" w:styleId="Heading3">
    <w:name w:val="heading 3"/>
    <w:basedOn w:val="Normal"/>
    <w:next w:val="Normal"/>
    <w:link w:val="Heading3Char"/>
    <w:uiPriority w:val="9"/>
    <w:unhideWhenUsed/>
    <w:qFormat/>
    <w:rsid w:val="00327130"/>
    <w:pPr>
      <w:spacing w:line="259" w:lineRule="auto"/>
      <w:outlineLvl w:val="2"/>
    </w:pPr>
    <w:rPr>
      <w:rFonts w:eastAsiaTheme="minorHAnsi"/>
      <w:b/>
      <w:iCs/>
      <w:lang w:val="en-US"/>
    </w:rPr>
  </w:style>
  <w:style w:type="paragraph" w:styleId="Heading4">
    <w:name w:val="heading 4"/>
    <w:basedOn w:val="Normal"/>
    <w:next w:val="Normal"/>
    <w:link w:val="Heading4Char"/>
    <w:uiPriority w:val="9"/>
    <w:unhideWhenUsed/>
    <w:qFormat/>
    <w:rsid w:val="00C751DA"/>
    <w:pPr>
      <w:keepNext/>
      <w:tabs>
        <w:tab w:val="left" w:pos="540"/>
      </w:tabs>
      <w:suppressAutoHyphens/>
      <w:spacing w:line="259" w:lineRule="auto"/>
      <w:outlineLvl w:val="3"/>
    </w:pPr>
    <w:rPr>
      <w:rFonts w:eastAsiaTheme="minorHAnsi"/>
      <w:sz w:val="20"/>
      <w:szCs w:val="20"/>
      <w:u w:val="single"/>
      <w:lang w:val="en-US"/>
    </w:rPr>
  </w:style>
  <w:style w:type="paragraph" w:styleId="Heading6">
    <w:name w:val="heading 6"/>
    <w:basedOn w:val="Normal"/>
    <w:next w:val="Normal"/>
    <w:link w:val="Heading6Char"/>
    <w:uiPriority w:val="9"/>
    <w:semiHidden/>
    <w:unhideWhenUsed/>
    <w:qFormat/>
    <w:rsid w:val="007E12E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rsid w:val="00DA65B0"/>
    <w:pPr>
      <w:keepNext/>
      <w:outlineLvl w:val="6"/>
    </w:pPr>
    <w:rPr>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D64"/>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FA6D64"/>
    <w:rPr>
      <w:rFonts w:ascii="Segoe UI" w:eastAsiaTheme="minorHAnsi" w:hAnsi="Segoe UI" w:cs="Segoe UI"/>
      <w:lang w:val="en-US"/>
    </w:rPr>
  </w:style>
  <w:style w:type="character" w:customStyle="1" w:styleId="BalloonTextChar">
    <w:name w:val="Balloon Text Char"/>
    <w:basedOn w:val="DefaultParagraphFont"/>
    <w:link w:val="BalloonText"/>
    <w:uiPriority w:val="99"/>
    <w:semiHidden/>
    <w:rsid w:val="00FA6D64"/>
    <w:rPr>
      <w:rFonts w:ascii="Segoe UI" w:hAnsi="Segoe UI" w:cs="Segoe UI"/>
      <w:sz w:val="18"/>
      <w:szCs w:val="18"/>
    </w:rPr>
  </w:style>
  <w:style w:type="table" w:styleId="TableGrid">
    <w:name w:val="Table Grid"/>
    <w:basedOn w:val="TableNormal"/>
    <w:uiPriority w:val="39"/>
    <w:rsid w:val="00453FB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3FBE"/>
    <w:pPr>
      <w:ind w:left="720"/>
      <w:contextualSpacing/>
    </w:pPr>
    <w:rPr>
      <w:lang w:val="en-US"/>
    </w:rPr>
  </w:style>
  <w:style w:type="paragraph" w:styleId="BodyTextIndent">
    <w:name w:val="Body Text Indent"/>
    <w:basedOn w:val="Normal"/>
    <w:link w:val="BodyTextIndentChar"/>
    <w:rsid w:val="00007ADF"/>
    <w:pPr>
      <w:ind w:left="360"/>
    </w:pPr>
    <w:rPr>
      <w:sz w:val="22"/>
      <w:szCs w:val="20"/>
      <w:lang w:val="en-US"/>
    </w:rPr>
  </w:style>
  <w:style w:type="character" w:customStyle="1" w:styleId="BodyTextIndentChar">
    <w:name w:val="Body Text Indent Char"/>
    <w:basedOn w:val="DefaultParagraphFont"/>
    <w:link w:val="BodyTextIndent"/>
    <w:rsid w:val="00007ADF"/>
    <w:rPr>
      <w:rFonts w:ascii="Arial" w:eastAsia="Times New Roman" w:hAnsi="Arial" w:cs="Times New Roman"/>
      <w:szCs w:val="20"/>
    </w:rPr>
  </w:style>
  <w:style w:type="character" w:styleId="Hyperlink">
    <w:name w:val="Hyperlink"/>
    <w:basedOn w:val="DefaultParagraphFont"/>
    <w:uiPriority w:val="99"/>
    <w:unhideWhenUsed/>
    <w:rsid w:val="00007ADF"/>
    <w:rPr>
      <w:color w:val="0563C1" w:themeColor="hyperlink"/>
      <w:u w:val="single"/>
    </w:rPr>
  </w:style>
  <w:style w:type="character" w:customStyle="1" w:styleId="UnresolvedMention1">
    <w:name w:val="Unresolved Mention1"/>
    <w:basedOn w:val="DefaultParagraphFont"/>
    <w:uiPriority w:val="99"/>
    <w:semiHidden/>
    <w:unhideWhenUsed/>
    <w:rsid w:val="00007ADF"/>
    <w:rPr>
      <w:color w:val="605E5C"/>
      <w:shd w:val="clear" w:color="auto" w:fill="E1DFDD"/>
    </w:rPr>
  </w:style>
  <w:style w:type="character" w:customStyle="1" w:styleId="Heading7Char">
    <w:name w:val="Heading 7 Char"/>
    <w:basedOn w:val="DefaultParagraphFont"/>
    <w:link w:val="Heading7"/>
    <w:rsid w:val="00DA65B0"/>
    <w:rPr>
      <w:rFonts w:ascii="Arial" w:eastAsia="Times New Roman" w:hAnsi="Arial" w:cs="Arial"/>
      <w:b/>
      <w:bCs/>
      <w:sz w:val="24"/>
      <w:szCs w:val="20"/>
    </w:rPr>
  </w:style>
  <w:style w:type="paragraph" w:styleId="Header">
    <w:name w:val="header"/>
    <w:basedOn w:val="Normal"/>
    <w:link w:val="HeaderChar"/>
    <w:uiPriority w:val="99"/>
    <w:unhideWhenUsed/>
    <w:rsid w:val="00C90A0A"/>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C90A0A"/>
  </w:style>
  <w:style w:type="paragraph" w:styleId="Footer">
    <w:name w:val="footer"/>
    <w:basedOn w:val="Normal"/>
    <w:link w:val="FooterChar"/>
    <w:uiPriority w:val="99"/>
    <w:unhideWhenUsed/>
    <w:rsid w:val="00C90A0A"/>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C90A0A"/>
  </w:style>
  <w:style w:type="paragraph" w:customStyle="1" w:styleId="CP1">
    <w:name w:val="CP1"/>
    <w:basedOn w:val="Normal"/>
    <w:rsid w:val="000964C8"/>
    <w:pPr>
      <w:numPr>
        <w:numId w:val="2"/>
      </w:numPr>
      <w:spacing w:after="240"/>
      <w:outlineLvl w:val="0"/>
    </w:pPr>
    <w:rPr>
      <w:szCs w:val="20"/>
    </w:rPr>
  </w:style>
  <w:style w:type="paragraph" w:customStyle="1" w:styleId="CP2">
    <w:name w:val="CP2"/>
    <w:basedOn w:val="Normal"/>
    <w:rsid w:val="000964C8"/>
    <w:pPr>
      <w:numPr>
        <w:ilvl w:val="1"/>
        <w:numId w:val="2"/>
      </w:numPr>
      <w:spacing w:after="240"/>
      <w:outlineLvl w:val="1"/>
    </w:pPr>
    <w:rPr>
      <w:szCs w:val="20"/>
    </w:rPr>
  </w:style>
  <w:style w:type="paragraph" w:customStyle="1" w:styleId="CP3">
    <w:name w:val="CP3"/>
    <w:basedOn w:val="Normal"/>
    <w:rsid w:val="000964C8"/>
    <w:pPr>
      <w:numPr>
        <w:ilvl w:val="2"/>
        <w:numId w:val="2"/>
      </w:numPr>
      <w:spacing w:after="240"/>
    </w:pPr>
    <w:rPr>
      <w:szCs w:val="20"/>
    </w:rPr>
  </w:style>
  <w:style w:type="paragraph" w:customStyle="1" w:styleId="CP4">
    <w:name w:val="CP4"/>
    <w:basedOn w:val="Normal"/>
    <w:rsid w:val="000964C8"/>
    <w:pPr>
      <w:numPr>
        <w:ilvl w:val="3"/>
        <w:numId w:val="2"/>
      </w:numPr>
      <w:spacing w:after="240"/>
    </w:pPr>
    <w:rPr>
      <w:szCs w:val="20"/>
    </w:rPr>
  </w:style>
  <w:style w:type="paragraph" w:customStyle="1" w:styleId="CP5">
    <w:name w:val="CP5"/>
    <w:basedOn w:val="Normal"/>
    <w:rsid w:val="000964C8"/>
    <w:pPr>
      <w:numPr>
        <w:ilvl w:val="4"/>
        <w:numId w:val="2"/>
      </w:numPr>
      <w:spacing w:after="240"/>
    </w:pPr>
    <w:rPr>
      <w:szCs w:val="20"/>
    </w:rPr>
  </w:style>
  <w:style w:type="paragraph" w:customStyle="1" w:styleId="CP6">
    <w:name w:val="CP6"/>
    <w:basedOn w:val="Normal"/>
    <w:rsid w:val="000964C8"/>
    <w:pPr>
      <w:numPr>
        <w:ilvl w:val="5"/>
        <w:numId w:val="2"/>
      </w:numPr>
      <w:spacing w:after="240"/>
    </w:pPr>
    <w:rPr>
      <w:szCs w:val="20"/>
    </w:rPr>
  </w:style>
  <w:style w:type="paragraph" w:customStyle="1" w:styleId="CP7">
    <w:name w:val="CP7"/>
    <w:basedOn w:val="Normal"/>
    <w:rsid w:val="000964C8"/>
    <w:pPr>
      <w:numPr>
        <w:ilvl w:val="6"/>
        <w:numId w:val="2"/>
      </w:numPr>
      <w:spacing w:after="240"/>
    </w:pPr>
    <w:rPr>
      <w:szCs w:val="20"/>
    </w:rPr>
  </w:style>
  <w:style w:type="paragraph" w:customStyle="1" w:styleId="CP8">
    <w:name w:val="CP8"/>
    <w:basedOn w:val="Normal"/>
    <w:rsid w:val="000964C8"/>
    <w:pPr>
      <w:numPr>
        <w:ilvl w:val="7"/>
        <w:numId w:val="2"/>
      </w:numPr>
      <w:spacing w:after="240"/>
    </w:pPr>
    <w:rPr>
      <w:szCs w:val="20"/>
    </w:rPr>
  </w:style>
  <w:style w:type="paragraph" w:customStyle="1" w:styleId="CP9">
    <w:name w:val="CP9"/>
    <w:basedOn w:val="Normal"/>
    <w:rsid w:val="000964C8"/>
    <w:pPr>
      <w:numPr>
        <w:ilvl w:val="8"/>
        <w:numId w:val="2"/>
      </w:numPr>
      <w:spacing w:after="240"/>
    </w:pPr>
    <w:rPr>
      <w:szCs w:val="20"/>
    </w:rPr>
  </w:style>
  <w:style w:type="character" w:styleId="CommentReference">
    <w:name w:val="annotation reference"/>
    <w:basedOn w:val="DefaultParagraphFont"/>
    <w:semiHidden/>
    <w:unhideWhenUsed/>
    <w:rsid w:val="00B043B6"/>
    <w:rPr>
      <w:sz w:val="16"/>
      <w:szCs w:val="16"/>
    </w:rPr>
  </w:style>
  <w:style w:type="paragraph" w:styleId="CommentText">
    <w:name w:val="annotation text"/>
    <w:basedOn w:val="Normal"/>
    <w:link w:val="CommentTextChar"/>
    <w:unhideWhenUsed/>
    <w:qFormat/>
    <w:rsid w:val="00B043B6"/>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qFormat/>
    <w:rsid w:val="00B043B6"/>
    <w:rPr>
      <w:sz w:val="20"/>
      <w:szCs w:val="20"/>
    </w:rPr>
  </w:style>
  <w:style w:type="paragraph" w:styleId="CommentSubject">
    <w:name w:val="annotation subject"/>
    <w:basedOn w:val="CommentText"/>
    <w:next w:val="CommentText"/>
    <w:link w:val="CommentSubjectChar"/>
    <w:uiPriority w:val="99"/>
    <w:semiHidden/>
    <w:unhideWhenUsed/>
    <w:rsid w:val="00B043B6"/>
    <w:rPr>
      <w:b/>
      <w:bCs/>
    </w:rPr>
  </w:style>
  <w:style w:type="character" w:customStyle="1" w:styleId="CommentSubjectChar">
    <w:name w:val="Comment Subject Char"/>
    <w:basedOn w:val="CommentTextChar"/>
    <w:link w:val="CommentSubject"/>
    <w:uiPriority w:val="99"/>
    <w:semiHidden/>
    <w:rsid w:val="00B043B6"/>
    <w:rPr>
      <w:b/>
      <w:bCs/>
      <w:sz w:val="20"/>
      <w:szCs w:val="20"/>
    </w:rPr>
  </w:style>
  <w:style w:type="paragraph" w:customStyle="1" w:styleId="ColorfulList-Accent11">
    <w:name w:val="Colorful List - Accent 11"/>
    <w:basedOn w:val="Normal"/>
    <w:uiPriority w:val="34"/>
    <w:qFormat/>
    <w:rsid w:val="005A587D"/>
    <w:pPr>
      <w:ind w:left="720"/>
      <w:contextualSpacing/>
    </w:pPr>
    <w:rPr>
      <w:lang w:val="en-US"/>
    </w:rPr>
  </w:style>
  <w:style w:type="paragraph" w:customStyle="1" w:styleId="canvas-atom">
    <w:name w:val="canvas-atom"/>
    <w:basedOn w:val="Normal"/>
    <w:rsid w:val="00501E34"/>
    <w:pPr>
      <w:spacing w:before="100" w:beforeAutospacing="1" w:after="100" w:afterAutospacing="1"/>
    </w:pPr>
    <w:rPr>
      <w:lang w:val="en-US"/>
    </w:rPr>
  </w:style>
  <w:style w:type="paragraph" w:customStyle="1" w:styleId="Body">
    <w:name w:val="Body"/>
    <w:rsid w:val="00881307"/>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customStyle="1" w:styleId="BodyTextInd8input">
    <w:name w:val="Body Text Ind8 input"/>
    <w:uiPriority w:val="99"/>
    <w:rsid w:val="00801543"/>
    <w:pPr>
      <w:keepLines/>
      <w:widowControl w:val="0"/>
      <w:autoSpaceDE w:val="0"/>
      <w:autoSpaceDN w:val="0"/>
      <w:adjustRightInd w:val="0"/>
      <w:spacing w:after="216" w:line="240" w:lineRule="auto"/>
      <w:ind w:left="1152"/>
      <w:jc w:val="both"/>
    </w:pPr>
    <w:rPr>
      <w:rFonts w:ascii="Arial" w:eastAsia="Times New Roman" w:hAnsi="Arial" w:cs="Arial"/>
      <w:color w:val="000000"/>
    </w:rPr>
  </w:style>
  <w:style w:type="character" w:styleId="Strong">
    <w:name w:val="Strong"/>
    <w:basedOn w:val="DefaultParagraphFont"/>
    <w:uiPriority w:val="22"/>
    <w:qFormat/>
    <w:rsid w:val="00DE23EB"/>
    <w:rPr>
      <w:b/>
      <w:bCs/>
    </w:rPr>
  </w:style>
  <w:style w:type="paragraph" w:styleId="Revision">
    <w:name w:val="Revision"/>
    <w:hidden/>
    <w:uiPriority w:val="99"/>
    <w:semiHidden/>
    <w:rsid w:val="00C50F36"/>
    <w:pPr>
      <w:spacing w:after="0" w:line="240" w:lineRule="auto"/>
    </w:pPr>
  </w:style>
  <w:style w:type="character" w:customStyle="1" w:styleId="Heading2Char">
    <w:name w:val="Heading 2 Char"/>
    <w:basedOn w:val="DefaultParagraphFont"/>
    <w:link w:val="Heading2"/>
    <w:uiPriority w:val="9"/>
    <w:rsid w:val="00B8542F"/>
    <w:rPr>
      <w:rFonts w:ascii="Arial" w:hAnsi="Arial" w:cs="Arial"/>
      <w:b/>
      <w:spacing w:val="-2"/>
      <w:sz w:val="20"/>
      <w:szCs w:val="20"/>
      <w:lang w:val="en-CA"/>
    </w:rPr>
  </w:style>
  <w:style w:type="character" w:customStyle="1" w:styleId="Heading1Char">
    <w:name w:val="Heading 1 Char"/>
    <w:basedOn w:val="DefaultParagraphFont"/>
    <w:link w:val="Heading1"/>
    <w:uiPriority w:val="9"/>
    <w:rsid w:val="00327130"/>
    <w:rPr>
      <w:rFonts w:ascii="Arial" w:eastAsia="Times New Roman" w:hAnsi="Arial" w:cs="Arial"/>
      <w:b/>
      <w:sz w:val="24"/>
      <w:szCs w:val="24"/>
    </w:rPr>
  </w:style>
  <w:style w:type="character" w:customStyle="1" w:styleId="Heading3Char">
    <w:name w:val="Heading 3 Char"/>
    <w:basedOn w:val="DefaultParagraphFont"/>
    <w:link w:val="Heading3"/>
    <w:uiPriority w:val="9"/>
    <w:rsid w:val="00327130"/>
    <w:rPr>
      <w:rFonts w:ascii="Arial" w:hAnsi="Arial" w:cs="Arial"/>
      <w:b/>
      <w:iCs/>
      <w:sz w:val="18"/>
      <w:szCs w:val="18"/>
    </w:rPr>
  </w:style>
  <w:style w:type="paragraph" w:styleId="NoSpacing">
    <w:name w:val="No Spacing"/>
    <w:aliases w:val="Table Figures"/>
    <w:basedOn w:val="Normal"/>
    <w:uiPriority w:val="1"/>
    <w:qFormat/>
    <w:rsid w:val="00367555"/>
    <w:pPr>
      <w:jc w:val="right"/>
    </w:pPr>
    <w:rPr>
      <w:lang w:eastAsia="en-CA"/>
    </w:rPr>
  </w:style>
  <w:style w:type="character" w:customStyle="1" w:styleId="Heading4Char">
    <w:name w:val="Heading 4 Char"/>
    <w:basedOn w:val="DefaultParagraphFont"/>
    <w:link w:val="Heading4"/>
    <w:uiPriority w:val="9"/>
    <w:rsid w:val="00C751DA"/>
    <w:rPr>
      <w:rFonts w:ascii="Arial" w:hAnsi="Arial" w:cs="Arial"/>
      <w:sz w:val="20"/>
      <w:szCs w:val="20"/>
      <w:u w:val="single"/>
    </w:rPr>
  </w:style>
  <w:style w:type="character" w:styleId="UnresolvedMention">
    <w:name w:val="Unresolved Mention"/>
    <w:basedOn w:val="DefaultParagraphFont"/>
    <w:uiPriority w:val="99"/>
    <w:semiHidden/>
    <w:unhideWhenUsed/>
    <w:rsid w:val="00A02564"/>
    <w:rPr>
      <w:color w:val="605E5C"/>
      <w:shd w:val="clear" w:color="auto" w:fill="E1DFDD"/>
    </w:rPr>
  </w:style>
  <w:style w:type="character" w:styleId="FollowedHyperlink">
    <w:name w:val="FollowedHyperlink"/>
    <w:basedOn w:val="DefaultParagraphFont"/>
    <w:uiPriority w:val="99"/>
    <w:semiHidden/>
    <w:unhideWhenUsed/>
    <w:rsid w:val="00A02564"/>
    <w:rPr>
      <w:color w:val="954F72" w:themeColor="followedHyperlink"/>
      <w:u w:val="single"/>
    </w:rPr>
  </w:style>
  <w:style w:type="paragraph" w:customStyle="1" w:styleId="BodyText">
    <w:name w:val="#BodyText"/>
    <w:rsid w:val="008E146F"/>
    <w:pPr>
      <w:spacing w:after="240" w:line="240" w:lineRule="auto"/>
      <w:jc w:val="both"/>
    </w:pPr>
    <w:rPr>
      <w:rFonts w:ascii="Arial" w:eastAsia="Arial" w:hAnsi="Arial" w:cs="Arial"/>
      <w:color w:val="000000"/>
      <w:sz w:val="20"/>
      <w:szCs w:val="20"/>
      <w:u w:color="000000"/>
      <w:lang w:eastAsia="zh-CN"/>
    </w:rPr>
  </w:style>
  <w:style w:type="character" w:customStyle="1" w:styleId="NotesindentChar">
    <w:name w:val="Notes indent Char"/>
    <w:basedOn w:val="DefaultParagraphFont"/>
    <w:link w:val="Notesindent"/>
    <w:locked/>
    <w:rsid w:val="0030037D"/>
    <w:rPr>
      <w:rFonts w:ascii="Arial" w:eastAsia="Times New Roman" w:hAnsi="Arial" w:cs="Arial"/>
      <w:sz w:val="18"/>
      <w:szCs w:val="18"/>
      <w:lang w:val="en-CA"/>
    </w:rPr>
  </w:style>
  <w:style w:type="paragraph" w:customStyle="1" w:styleId="Notesindent">
    <w:name w:val="Notes indent"/>
    <w:basedOn w:val="NoSpacing"/>
    <w:link w:val="NotesindentChar"/>
    <w:qFormat/>
    <w:rsid w:val="0030037D"/>
    <w:pPr>
      <w:spacing w:line="276" w:lineRule="auto"/>
      <w:ind w:left="426"/>
    </w:pPr>
  </w:style>
  <w:style w:type="character" w:customStyle="1" w:styleId="Heading6Char">
    <w:name w:val="Heading 6 Char"/>
    <w:basedOn w:val="DefaultParagraphFont"/>
    <w:link w:val="Heading6"/>
    <w:uiPriority w:val="9"/>
    <w:semiHidden/>
    <w:rsid w:val="007E12EA"/>
    <w:rPr>
      <w:rFonts w:asciiTheme="majorHAnsi" w:eastAsiaTheme="majorEastAsia" w:hAnsiTheme="majorHAnsi" w:cstheme="majorBidi"/>
      <w:color w:val="1F3763" w:themeColor="accent1" w:themeShade="7F"/>
      <w:sz w:val="24"/>
      <w:szCs w:val="24"/>
      <w:lang w:val="en-CA"/>
    </w:rPr>
  </w:style>
  <w:style w:type="character" w:customStyle="1" w:styleId="ListParagraphChar">
    <w:name w:val="List Paragraph Char"/>
    <w:basedOn w:val="DefaultParagraphFont"/>
    <w:link w:val="ListParagraph"/>
    <w:uiPriority w:val="34"/>
    <w:rsid w:val="009716E1"/>
    <w:rPr>
      <w:rFonts w:ascii="Times New Roman" w:eastAsia="Times New Roman" w:hAnsi="Times New Roman" w:cs="Times New Roman"/>
      <w:sz w:val="24"/>
      <w:szCs w:val="24"/>
    </w:rPr>
  </w:style>
  <w:style w:type="paragraph" w:styleId="BodyText0">
    <w:name w:val="Body Text"/>
    <w:basedOn w:val="Normal"/>
    <w:link w:val="BodyTextChar"/>
    <w:uiPriority w:val="99"/>
    <w:unhideWhenUsed/>
    <w:rsid w:val="00A34550"/>
    <w:pPr>
      <w:spacing w:after="120"/>
    </w:pPr>
  </w:style>
  <w:style w:type="character" w:customStyle="1" w:styleId="BodyTextChar">
    <w:name w:val="Body Text Char"/>
    <w:basedOn w:val="DefaultParagraphFont"/>
    <w:link w:val="BodyText0"/>
    <w:uiPriority w:val="99"/>
    <w:rsid w:val="00A34550"/>
    <w:rPr>
      <w:rFonts w:ascii="Times New Roman" w:eastAsia="Times New Roman" w:hAnsi="Times New Roman" w:cs="Times New Roman"/>
      <w:sz w:val="24"/>
      <w:szCs w:val="24"/>
      <w:lang w:val="en-CA"/>
    </w:rPr>
  </w:style>
  <w:style w:type="paragraph" w:styleId="Title">
    <w:name w:val="Title"/>
    <w:basedOn w:val="NormalWeb"/>
    <w:next w:val="Normal"/>
    <w:link w:val="TitleChar"/>
    <w:uiPriority w:val="10"/>
    <w:qFormat/>
    <w:rsid w:val="00DE463C"/>
    <w:pPr>
      <w:spacing w:after="0" w:afterAutospacing="0"/>
      <w:jc w:val="center"/>
    </w:pPr>
    <w:rPr>
      <w:b/>
      <w:bCs/>
      <w:noProof/>
      <w:sz w:val="52"/>
      <w:szCs w:val="52"/>
    </w:rPr>
  </w:style>
  <w:style w:type="character" w:customStyle="1" w:styleId="TitleChar">
    <w:name w:val="Title Char"/>
    <w:basedOn w:val="DefaultParagraphFont"/>
    <w:link w:val="Title"/>
    <w:uiPriority w:val="10"/>
    <w:rsid w:val="00DE463C"/>
    <w:rPr>
      <w:rFonts w:ascii="Arial" w:eastAsia="Times New Roman" w:hAnsi="Arial" w:cs="Arial"/>
      <w:b/>
      <w:bCs/>
      <w:noProof/>
      <w:sz w:val="52"/>
      <w:szCs w:val="52"/>
    </w:rPr>
  </w:style>
  <w:style w:type="character" w:customStyle="1" w:styleId="cf01">
    <w:name w:val="cf01"/>
    <w:basedOn w:val="DefaultParagraphFont"/>
    <w:rsid w:val="00DA1BD6"/>
    <w:rPr>
      <w:rFonts w:ascii="Segoe UI" w:hAnsi="Segoe UI" w:cs="Segoe UI" w:hint="default"/>
      <w:sz w:val="18"/>
      <w:szCs w:val="18"/>
    </w:rPr>
  </w:style>
  <w:style w:type="character" w:customStyle="1" w:styleId="ProspectusCont1Char">
    <w:name w:val="Prospectus Cont 1 Char"/>
    <w:basedOn w:val="BodyTextChar"/>
    <w:link w:val="ProspectusCont1"/>
    <w:locked/>
    <w:rsid w:val="00D825A3"/>
    <w:rPr>
      <w:rFonts w:ascii="Arial" w:eastAsia="Times New Roman" w:hAnsi="Arial" w:cs="Times New Roman"/>
      <w:sz w:val="20"/>
      <w:szCs w:val="20"/>
      <w:lang w:val="en-CA"/>
    </w:rPr>
  </w:style>
  <w:style w:type="paragraph" w:customStyle="1" w:styleId="ProspectusCont1">
    <w:name w:val="Prospectus Cont 1"/>
    <w:basedOn w:val="Normal"/>
    <w:link w:val="ProspectusCont1Char"/>
    <w:rsid w:val="00D825A3"/>
    <w:pPr>
      <w:spacing w:after="240"/>
      <w:ind w:firstLine="720"/>
    </w:pPr>
    <w:rPr>
      <w:rFonts w:cs="Times New Roman"/>
      <w:sz w:val="20"/>
      <w:szCs w:val="20"/>
    </w:rPr>
  </w:style>
  <w:style w:type="character" w:customStyle="1" w:styleId="AIFCont3Char">
    <w:name w:val="AIF Cont 3 Char"/>
    <w:link w:val="AIFCont3"/>
    <w:locked/>
    <w:rsid w:val="00E42597"/>
    <w:rPr>
      <w:rFonts w:ascii="Calibri" w:eastAsia="Times New Roman" w:hAnsi="Calibri" w:cs="Calibri"/>
      <w:sz w:val="20"/>
      <w:szCs w:val="20"/>
      <w:lang w:val="en-CA"/>
    </w:rPr>
  </w:style>
  <w:style w:type="paragraph" w:customStyle="1" w:styleId="AIFCont3">
    <w:name w:val="AIF Cont 3"/>
    <w:basedOn w:val="Normal"/>
    <w:link w:val="AIFCont3Char"/>
    <w:rsid w:val="00E42597"/>
    <w:pPr>
      <w:spacing w:after="240"/>
    </w:pPr>
    <w:rPr>
      <w:rFonts w:ascii="Calibri" w:hAnsi="Calibri" w:cs="Calibri"/>
      <w:sz w:val="20"/>
      <w:szCs w:val="20"/>
    </w:rPr>
  </w:style>
  <w:style w:type="paragraph" w:customStyle="1" w:styleId="bt5">
    <w:name w:val="bt5"/>
    <w:aliases w:val="bullet list 5"/>
    <w:basedOn w:val="Normal"/>
    <w:rsid w:val="00E42597"/>
    <w:pPr>
      <w:numPr>
        <w:numId w:val="14"/>
      </w:numPr>
      <w:spacing w:after="240"/>
    </w:pPr>
    <w:rPr>
      <w:rFonts w:asciiTheme="minorHAnsi" w:eastAsia="Calibri" w:hAnsiTheme="minorHAnsi" w:cs="Times New Roman"/>
      <w:sz w:val="20"/>
      <w:szCs w:val="24"/>
      <w:lang w:val="en-US"/>
    </w:rPr>
  </w:style>
  <w:style w:type="paragraph" w:customStyle="1" w:styleId="aifcont1">
    <w:name w:val="aifcont1"/>
    <w:basedOn w:val="Normal"/>
    <w:rsid w:val="000829F0"/>
    <w:pPr>
      <w:spacing w:after="240"/>
    </w:pPr>
    <w:rPr>
      <w:rFonts w:ascii="Calibri" w:eastAsiaTheme="minorHAnsi" w:hAnsi="Calibri" w:cs="Calibri"/>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551">
      <w:bodyDiv w:val="1"/>
      <w:marLeft w:val="0"/>
      <w:marRight w:val="0"/>
      <w:marTop w:val="0"/>
      <w:marBottom w:val="0"/>
      <w:divBdr>
        <w:top w:val="none" w:sz="0" w:space="0" w:color="auto"/>
        <w:left w:val="none" w:sz="0" w:space="0" w:color="auto"/>
        <w:bottom w:val="none" w:sz="0" w:space="0" w:color="auto"/>
        <w:right w:val="none" w:sz="0" w:space="0" w:color="auto"/>
      </w:divBdr>
    </w:div>
    <w:div w:id="9526018">
      <w:bodyDiv w:val="1"/>
      <w:marLeft w:val="0"/>
      <w:marRight w:val="0"/>
      <w:marTop w:val="0"/>
      <w:marBottom w:val="0"/>
      <w:divBdr>
        <w:top w:val="none" w:sz="0" w:space="0" w:color="auto"/>
        <w:left w:val="none" w:sz="0" w:space="0" w:color="auto"/>
        <w:bottom w:val="none" w:sz="0" w:space="0" w:color="auto"/>
        <w:right w:val="none" w:sz="0" w:space="0" w:color="auto"/>
      </w:divBdr>
    </w:div>
    <w:div w:id="21901422">
      <w:bodyDiv w:val="1"/>
      <w:marLeft w:val="0"/>
      <w:marRight w:val="0"/>
      <w:marTop w:val="0"/>
      <w:marBottom w:val="0"/>
      <w:divBdr>
        <w:top w:val="none" w:sz="0" w:space="0" w:color="auto"/>
        <w:left w:val="none" w:sz="0" w:space="0" w:color="auto"/>
        <w:bottom w:val="none" w:sz="0" w:space="0" w:color="auto"/>
        <w:right w:val="none" w:sz="0" w:space="0" w:color="auto"/>
      </w:divBdr>
    </w:div>
    <w:div w:id="56364745">
      <w:bodyDiv w:val="1"/>
      <w:marLeft w:val="0"/>
      <w:marRight w:val="0"/>
      <w:marTop w:val="0"/>
      <w:marBottom w:val="0"/>
      <w:divBdr>
        <w:top w:val="none" w:sz="0" w:space="0" w:color="auto"/>
        <w:left w:val="none" w:sz="0" w:space="0" w:color="auto"/>
        <w:bottom w:val="none" w:sz="0" w:space="0" w:color="auto"/>
        <w:right w:val="none" w:sz="0" w:space="0" w:color="auto"/>
      </w:divBdr>
    </w:div>
    <w:div w:id="83496819">
      <w:bodyDiv w:val="1"/>
      <w:marLeft w:val="0"/>
      <w:marRight w:val="0"/>
      <w:marTop w:val="0"/>
      <w:marBottom w:val="0"/>
      <w:divBdr>
        <w:top w:val="none" w:sz="0" w:space="0" w:color="auto"/>
        <w:left w:val="none" w:sz="0" w:space="0" w:color="auto"/>
        <w:bottom w:val="none" w:sz="0" w:space="0" w:color="auto"/>
        <w:right w:val="none" w:sz="0" w:space="0" w:color="auto"/>
      </w:divBdr>
    </w:div>
    <w:div w:id="90394341">
      <w:bodyDiv w:val="1"/>
      <w:marLeft w:val="0"/>
      <w:marRight w:val="0"/>
      <w:marTop w:val="0"/>
      <w:marBottom w:val="0"/>
      <w:divBdr>
        <w:top w:val="none" w:sz="0" w:space="0" w:color="auto"/>
        <w:left w:val="none" w:sz="0" w:space="0" w:color="auto"/>
        <w:bottom w:val="none" w:sz="0" w:space="0" w:color="auto"/>
        <w:right w:val="none" w:sz="0" w:space="0" w:color="auto"/>
      </w:divBdr>
    </w:div>
    <w:div w:id="104274803">
      <w:bodyDiv w:val="1"/>
      <w:marLeft w:val="0"/>
      <w:marRight w:val="0"/>
      <w:marTop w:val="0"/>
      <w:marBottom w:val="0"/>
      <w:divBdr>
        <w:top w:val="none" w:sz="0" w:space="0" w:color="auto"/>
        <w:left w:val="none" w:sz="0" w:space="0" w:color="auto"/>
        <w:bottom w:val="none" w:sz="0" w:space="0" w:color="auto"/>
        <w:right w:val="none" w:sz="0" w:space="0" w:color="auto"/>
      </w:divBdr>
    </w:div>
    <w:div w:id="111484726">
      <w:bodyDiv w:val="1"/>
      <w:marLeft w:val="0"/>
      <w:marRight w:val="0"/>
      <w:marTop w:val="0"/>
      <w:marBottom w:val="0"/>
      <w:divBdr>
        <w:top w:val="none" w:sz="0" w:space="0" w:color="auto"/>
        <w:left w:val="none" w:sz="0" w:space="0" w:color="auto"/>
        <w:bottom w:val="none" w:sz="0" w:space="0" w:color="auto"/>
        <w:right w:val="none" w:sz="0" w:space="0" w:color="auto"/>
      </w:divBdr>
    </w:div>
    <w:div w:id="118649107">
      <w:bodyDiv w:val="1"/>
      <w:marLeft w:val="0"/>
      <w:marRight w:val="0"/>
      <w:marTop w:val="0"/>
      <w:marBottom w:val="0"/>
      <w:divBdr>
        <w:top w:val="none" w:sz="0" w:space="0" w:color="auto"/>
        <w:left w:val="none" w:sz="0" w:space="0" w:color="auto"/>
        <w:bottom w:val="none" w:sz="0" w:space="0" w:color="auto"/>
        <w:right w:val="none" w:sz="0" w:space="0" w:color="auto"/>
      </w:divBdr>
    </w:div>
    <w:div w:id="121730466">
      <w:bodyDiv w:val="1"/>
      <w:marLeft w:val="0"/>
      <w:marRight w:val="0"/>
      <w:marTop w:val="0"/>
      <w:marBottom w:val="0"/>
      <w:divBdr>
        <w:top w:val="none" w:sz="0" w:space="0" w:color="auto"/>
        <w:left w:val="none" w:sz="0" w:space="0" w:color="auto"/>
        <w:bottom w:val="none" w:sz="0" w:space="0" w:color="auto"/>
        <w:right w:val="none" w:sz="0" w:space="0" w:color="auto"/>
      </w:divBdr>
    </w:div>
    <w:div w:id="166217225">
      <w:bodyDiv w:val="1"/>
      <w:marLeft w:val="0"/>
      <w:marRight w:val="0"/>
      <w:marTop w:val="0"/>
      <w:marBottom w:val="0"/>
      <w:divBdr>
        <w:top w:val="none" w:sz="0" w:space="0" w:color="auto"/>
        <w:left w:val="none" w:sz="0" w:space="0" w:color="auto"/>
        <w:bottom w:val="none" w:sz="0" w:space="0" w:color="auto"/>
        <w:right w:val="none" w:sz="0" w:space="0" w:color="auto"/>
      </w:divBdr>
    </w:div>
    <w:div w:id="177356448">
      <w:bodyDiv w:val="1"/>
      <w:marLeft w:val="0"/>
      <w:marRight w:val="0"/>
      <w:marTop w:val="0"/>
      <w:marBottom w:val="0"/>
      <w:divBdr>
        <w:top w:val="none" w:sz="0" w:space="0" w:color="auto"/>
        <w:left w:val="none" w:sz="0" w:space="0" w:color="auto"/>
        <w:bottom w:val="none" w:sz="0" w:space="0" w:color="auto"/>
        <w:right w:val="none" w:sz="0" w:space="0" w:color="auto"/>
      </w:divBdr>
    </w:div>
    <w:div w:id="180361954">
      <w:bodyDiv w:val="1"/>
      <w:marLeft w:val="0"/>
      <w:marRight w:val="0"/>
      <w:marTop w:val="0"/>
      <w:marBottom w:val="0"/>
      <w:divBdr>
        <w:top w:val="none" w:sz="0" w:space="0" w:color="auto"/>
        <w:left w:val="none" w:sz="0" w:space="0" w:color="auto"/>
        <w:bottom w:val="none" w:sz="0" w:space="0" w:color="auto"/>
        <w:right w:val="none" w:sz="0" w:space="0" w:color="auto"/>
      </w:divBdr>
    </w:div>
    <w:div w:id="186718327">
      <w:bodyDiv w:val="1"/>
      <w:marLeft w:val="0"/>
      <w:marRight w:val="0"/>
      <w:marTop w:val="0"/>
      <w:marBottom w:val="0"/>
      <w:divBdr>
        <w:top w:val="none" w:sz="0" w:space="0" w:color="auto"/>
        <w:left w:val="none" w:sz="0" w:space="0" w:color="auto"/>
        <w:bottom w:val="none" w:sz="0" w:space="0" w:color="auto"/>
        <w:right w:val="none" w:sz="0" w:space="0" w:color="auto"/>
      </w:divBdr>
    </w:div>
    <w:div w:id="196821440">
      <w:bodyDiv w:val="1"/>
      <w:marLeft w:val="0"/>
      <w:marRight w:val="0"/>
      <w:marTop w:val="0"/>
      <w:marBottom w:val="0"/>
      <w:divBdr>
        <w:top w:val="none" w:sz="0" w:space="0" w:color="auto"/>
        <w:left w:val="none" w:sz="0" w:space="0" w:color="auto"/>
        <w:bottom w:val="none" w:sz="0" w:space="0" w:color="auto"/>
        <w:right w:val="none" w:sz="0" w:space="0" w:color="auto"/>
      </w:divBdr>
    </w:div>
    <w:div w:id="229535342">
      <w:bodyDiv w:val="1"/>
      <w:marLeft w:val="0"/>
      <w:marRight w:val="0"/>
      <w:marTop w:val="0"/>
      <w:marBottom w:val="0"/>
      <w:divBdr>
        <w:top w:val="none" w:sz="0" w:space="0" w:color="auto"/>
        <w:left w:val="none" w:sz="0" w:space="0" w:color="auto"/>
        <w:bottom w:val="none" w:sz="0" w:space="0" w:color="auto"/>
        <w:right w:val="none" w:sz="0" w:space="0" w:color="auto"/>
      </w:divBdr>
    </w:div>
    <w:div w:id="244726667">
      <w:bodyDiv w:val="1"/>
      <w:marLeft w:val="0"/>
      <w:marRight w:val="0"/>
      <w:marTop w:val="0"/>
      <w:marBottom w:val="0"/>
      <w:divBdr>
        <w:top w:val="none" w:sz="0" w:space="0" w:color="auto"/>
        <w:left w:val="none" w:sz="0" w:space="0" w:color="auto"/>
        <w:bottom w:val="none" w:sz="0" w:space="0" w:color="auto"/>
        <w:right w:val="none" w:sz="0" w:space="0" w:color="auto"/>
      </w:divBdr>
    </w:div>
    <w:div w:id="245386160">
      <w:bodyDiv w:val="1"/>
      <w:marLeft w:val="0"/>
      <w:marRight w:val="0"/>
      <w:marTop w:val="0"/>
      <w:marBottom w:val="0"/>
      <w:divBdr>
        <w:top w:val="none" w:sz="0" w:space="0" w:color="auto"/>
        <w:left w:val="none" w:sz="0" w:space="0" w:color="auto"/>
        <w:bottom w:val="none" w:sz="0" w:space="0" w:color="auto"/>
        <w:right w:val="none" w:sz="0" w:space="0" w:color="auto"/>
      </w:divBdr>
    </w:div>
    <w:div w:id="246306635">
      <w:bodyDiv w:val="1"/>
      <w:marLeft w:val="0"/>
      <w:marRight w:val="0"/>
      <w:marTop w:val="0"/>
      <w:marBottom w:val="0"/>
      <w:divBdr>
        <w:top w:val="none" w:sz="0" w:space="0" w:color="auto"/>
        <w:left w:val="none" w:sz="0" w:space="0" w:color="auto"/>
        <w:bottom w:val="none" w:sz="0" w:space="0" w:color="auto"/>
        <w:right w:val="none" w:sz="0" w:space="0" w:color="auto"/>
      </w:divBdr>
    </w:div>
    <w:div w:id="251276993">
      <w:bodyDiv w:val="1"/>
      <w:marLeft w:val="0"/>
      <w:marRight w:val="0"/>
      <w:marTop w:val="0"/>
      <w:marBottom w:val="0"/>
      <w:divBdr>
        <w:top w:val="none" w:sz="0" w:space="0" w:color="auto"/>
        <w:left w:val="none" w:sz="0" w:space="0" w:color="auto"/>
        <w:bottom w:val="none" w:sz="0" w:space="0" w:color="auto"/>
        <w:right w:val="none" w:sz="0" w:space="0" w:color="auto"/>
      </w:divBdr>
    </w:div>
    <w:div w:id="261425274">
      <w:bodyDiv w:val="1"/>
      <w:marLeft w:val="0"/>
      <w:marRight w:val="0"/>
      <w:marTop w:val="0"/>
      <w:marBottom w:val="0"/>
      <w:divBdr>
        <w:top w:val="none" w:sz="0" w:space="0" w:color="auto"/>
        <w:left w:val="none" w:sz="0" w:space="0" w:color="auto"/>
        <w:bottom w:val="none" w:sz="0" w:space="0" w:color="auto"/>
        <w:right w:val="none" w:sz="0" w:space="0" w:color="auto"/>
      </w:divBdr>
      <w:divsChild>
        <w:div w:id="753749451">
          <w:marLeft w:val="0"/>
          <w:marRight w:val="0"/>
          <w:marTop w:val="0"/>
          <w:marBottom w:val="0"/>
          <w:divBdr>
            <w:top w:val="none" w:sz="0" w:space="0" w:color="auto"/>
            <w:left w:val="none" w:sz="0" w:space="0" w:color="auto"/>
            <w:bottom w:val="none" w:sz="0" w:space="0" w:color="auto"/>
            <w:right w:val="none" w:sz="0" w:space="0" w:color="auto"/>
          </w:divBdr>
          <w:divsChild>
            <w:div w:id="2012947149">
              <w:marLeft w:val="0"/>
              <w:marRight w:val="0"/>
              <w:marTop w:val="0"/>
              <w:marBottom w:val="0"/>
              <w:divBdr>
                <w:top w:val="none" w:sz="0" w:space="0" w:color="auto"/>
                <w:left w:val="none" w:sz="0" w:space="0" w:color="auto"/>
                <w:bottom w:val="none" w:sz="0" w:space="0" w:color="auto"/>
                <w:right w:val="none" w:sz="0" w:space="0" w:color="auto"/>
              </w:divBdr>
              <w:divsChild>
                <w:div w:id="295722691">
                  <w:marLeft w:val="0"/>
                  <w:marRight w:val="0"/>
                  <w:marTop w:val="0"/>
                  <w:marBottom w:val="0"/>
                  <w:divBdr>
                    <w:top w:val="none" w:sz="0" w:space="0" w:color="auto"/>
                    <w:left w:val="none" w:sz="0" w:space="0" w:color="auto"/>
                    <w:bottom w:val="none" w:sz="0" w:space="0" w:color="auto"/>
                    <w:right w:val="none" w:sz="0" w:space="0" w:color="auto"/>
                  </w:divBdr>
                  <w:divsChild>
                    <w:div w:id="11036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324399">
      <w:bodyDiv w:val="1"/>
      <w:marLeft w:val="0"/>
      <w:marRight w:val="0"/>
      <w:marTop w:val="0"/>
      <w:marBottom w:val="0"/>
      <w:divBdr>
        <w:top w:val="none" w:sz="0" w:space="0" w:color="auto"/>
        <w:left w:val="none" w:sz="0" w:space="0" w:color="auto"/>
        <w:bottom w:val="none" w:sz="0" w:space="0" w:color="auto"/>
        <w:right w:val="none" w:sz="0" w:space="0" w:color="auto"/>
      </w:divBdr>
    </w:div>
    <w:div w:id="275186665">
      <w:bodyDiv w:val="1"/>
      <w:marLeft w:val="0"/>
      <w:marRight w:val="0"/>
      <w:marTop w:val="0"/>
      <w:marBottom w:val="0"/>
      <w:divBdr>
        <w:top w:val="none" w:sz="0" w:space="0" w:color="auto"/>
        <w:left w:val="none" w:sz="0" w:space="0" w:color="auto"/>
        <w:bottom w:val="none" w:sz="0" w:space="0" w:color="auto"/>
        <w:right w:val="none" w:sz="0" w:space="0" w:color="auto"/>
      </w:divBdr>
      <w:divsChild>
        <w:div w:id="377559713">
          <w:marLeft w:val="0"/>
          <w:marRight w:val="0"/>
          <w:marTop w:val="0"/>
          <w:marBottom w:val="0"/>
          <w:divBdr>
            <w:top w:val="none" w:sz="0" w:space="0" w:color="auto"/>
            <w:left w:val="none" w:sz="0" w:space="0" w:color="auto"/>
            <w:bottom w:val="none" w:sz="0" w:space="0" w:color="auto"/>
            <w:right w:val="none" w:sz="0" w:space="0" w:color="auto"/>
          </w:divBdr>
          <w:divsChild>
            <w:div w:id="1970158770">
              <w:marLeft w:val="0"/>
              <w:marRight w:val="0"/>
              <w:marTop w:val="0"/>
              <w:marBottom w:val="0"/>
              <w:divBdr>
                <w:top w:val="none" w:sz="0" w:space="0" w:color="auto"/>
                <w:left w:val="none" w:sz="0" w:space="0" w:color="auto"/>
                <w:bottom w:val="none" w:sz="0" w:space="0" w:color="auto"/>
                <w:right w:val="none" w:sz="0" w:space="0" w:color="auto"/>
              </w:divBdr>
              <w:divsChild>
                <w:div w:id="1262450155">
                  <w:marLeft w:val="0"/>
                  <w:marRight w:val="0"/>
                  <w:marTop w:val="0"/>
                  <w:marBottom w:val="0"/>
                  <w:divBdr>
                    <w:top w:val="none" w:sz="0" w:space="0" w:color="auto"/>
                    <w:left w:val="none" w:sz="0" w:space="0" w:color="auto"/>
                    <w:bottom w:val="none" w:sz="0" w:space="0" w:color="auto"/>
                    <w:right w:val="none" w:sz="0" w:space="0" w:color="auto"/>
                  </w:divBdr>
                  <w:divsChild>
                    <w:div w:id="3670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78727">
      <w:bodyDiv w:val="1"/>
      <w:marLeft w:val="0"/>
      <w:marRight w:val="0"/>
      <w:marTop w:val="0"/>
      <w:marBottom w:val="0"/>
      <w:divBdr>
        <w:top w:val="none" w:sz="0" w:space="0" w:color="auto"/>
        <w:left w:val="none" w:sz="0" w:space="0" w:color="auto"/>
        <w:bottom w:val="none" w:sz="0" w:space="0" w:color="auto"/>
        <w:right w:val="none" w:sz="0" w:space="0" w:color="auto"/>
      </w:divBdr>
    </w:div>
    <w:div w:id="326128978">
      <w:bodyDiv w:val="1"/>
      <w:marLeft w:val="0"/>
      <w:marRight w:val="0"/>
      <w:marTop w:val="0"/>
      <w:marBottom w:val="0"/>
      <w:divBdr>
        <w:top w:val="none" w:sz="0" w:space="0" w:color="auto"/>
        <w:left w:val="none" w:sz="0" w:space="0" w:color="auto"/>
        <w:bottom w:val="none" w:sz="0" w:space="0" w:color="auto"/>
        <w:right w:val="none" w:sz="0" w:space="0" w:color="auto"/>
      </w:divBdr>
    </w:div>
    <w:div w:id="336424229">
      <w:bodyDiv w:val="1"/>
      <w:marLeft w:val="0"/>
      <w:marRight w:val="0"/>
      <w:marTop w:val="0"/>
      <w:marBottom w:val="0"/>
      <w:divBdr>
        <w:top w:val="none" w:sz="0" w:space="0" w:color="auto"/>
        <w:left w:val="none" w:sz="0" w:space="0" w:color="auto"/>
        <w:bottom w:val="none" w:sz="0" w:space="0" w:color="auto"/>
        <w:right w:val="none" w:sz="0" w:space="0" w:color="auto"/>
      </w:divBdr>
    </w:div>
    <w:div w:id="373580449">
      <w:bodyDiv w:val="1"/>
      <w:marLeft w:val="0"/>
      <w:marRight w:val="0"/>
      <w:marTop w:val="0"/>
      <w:marBottom w:val="0"/>
      <w:divBdr>
        <w:top w:val="none" w:sz="0" w:space="0" w:color="auto"/>
        <w:left w:val="none" w:sz="0" w:space="0" w:color="auto"/>
        <w:bottom w:val="none" w:sz="0" w:space="0" w:color="auto"/>
        <w:right w:val="none" w:sz="0" w:space="0" w:color="auto"/>
      </w:divBdr>
    </w:div>
    <w:div w:id="402022926">
      <w:bodyDiv w:val="1"/>
      <w:marLeft w:val="0"/>
      <w:marRight w:val="0"/>
      <w:marTop w:val="0"/>
      <w:marBottom w:val="0"/>
      <w:divBdr>
        <w:top w:val="none" w:sz="0" w:space="0" w:color="auto"/>
        <w:left w:val="none" w:sz="0" w:space="0" w:color="auto"/>
        <w:bottom w:val="none" w:sz="0" w:space="0" w:color="auto"/>
        <w:right w:val="none" w:sz="0" w:space="0" w:color="auto"/>
      </w:divBdr>
    </w:div>
    <w:div w:id="453640774">
      <w:bodyDiv w:val="1"/>
      <w:marLeft w:val="0"/>
      <w:marRight w:val="0"/>
      <w:marTop w:val="0"/>
      <w:marBottom w:val="0"/>
      <w:divBdr>
        <w:top w:val="none" w:sz="0" w:space="0" w:color="auto"/>
        <w:left w:val="none" w:sz="0" w:space="0" w:color="auto"/>
        <w:bottom w:val="none" w:sz="0" w:space="0" w:color="auto"/>
        <w:right w:val="none" w:sz="0" w:space="0" w:color="auto"/>
      </w:divBdr>
    </w:div>
    <w:div w:id="478159774">
      <w:bodyDiv w:val="1"/>
      <w:marLeft w:val="0"/>
      <w:marRight w:val="0"/>
      <w:marTop w:val="0"/>
      <w:marBottom w:val="0"/>
      <w:divBdr>
        <w:top w:val="none" w:sz="0" w:space="0" w:color="auto"/>
        <w:left w:val="none" w:sz="0" w:space="0" w:color="auto"/>
        <w:bottom w:val="none" w:sz="0" w:space="0" w:color="auto"/>
        <w:right w:val="none" w:sz="0" w:space="0" w:color="auto"/>
      </w:divBdr>
    </w:div>
    <w:div w:id="484248341">
      <w:bodyDiv w:val="1"/>
      <w:marLeft w:val="0"/>
      <w:marRight w:val="0"/>
      <w:marTop w:val="0"/>
      <w:marBottom w:val="0"/>
      <w:divBdr>
        <w:top w:val="none" w:sz="0" w:space="0" w:color="auto"/>
        <w:left w:val="none" w:sz="0" w:space="0" w:color="auto"/>
        <w:bottom w:val="none" w:sz="0" w:space="0" w:color="auto"/>
        <w:right w:val="none" w:sz="0" w:space="0" w:color="auto"/>
      </w:divBdr>
    </w:div>
    <w:div w:id="527526271">
      <w:bodyDiv w:val="1"/>
      <w:marLeft w:val="0"/>
      <w:marRight w:val="0"/>
      <w:marTop w:val="0"/>
      <w:marBottom w:val="0"/>
      <w:divBdr>
        <w:top w:val="none" w:sz="0" w:space="0" w:color="auto"/>
        <w:left w:val="none" w:sz="0" w:space="0" w:color="auto"/>
        <w:bottom w:val="none" w:sz="0" w:space="0" w:color="auto"/>
        <w:right w:val="none" w:sz="0" w:space="0" w:color="auto"/>
      </w:divBdr>
    </w:div>
    <w:div w:id="535390091">
      <w:bodyDiv w:val="1"/>
      <w:marLeft w:val="0"/>
      <w:marRight w:val="0"/>
      <w:marTop w:val="0"/>
      <w:marBottom w:val="0"/>
      <w:divBdr>
        <w:top w:val="none" w:sz="0" w:space="0" w:color="auto"/>
        <w:left w:val="none" w:sz="0" w:space="0" w:color="auto"/>
        <w:bottom w:val="none" w:sz="0" w:space="0" w:color="auto"/>
        <w:right w:val="none" w:sz="0" w:space="0" w:color="auto"/>
      </w:divBdr>
    </w:div>
    <w:div w:id="557791490">
      <w:bodyDiv w:val="1"/>
      <w:marLeft w:val="0"/>
      <w:marRight w:val="0"/>
      <w:marTop w:val="0"/>
      <w:marBottom w:val="0"/>
      <w:divBdr>
        <w:top w:val="none" w:sz="0" w:space="0" w:color="auto"/>
        <w:left w:val="none" w:sz="0" w:space="0" w:color="auto"/>
        <w:bottom w:val="none" w:sz="0" w:space="0" w:color="auto"/>
        <w:right w:val="none" w:sz="0" w:space="0" w:color="auto"/>
      </w:divBdr>
    </w:div>
    <w:div w:id="560360855">
      <w:bodyDiv w:val="1"/>
      <w:marLeft w:val="0"/>
      <w:marRight w:val="0"/>
      <w:marTop w:val="0"/>
      <w:marBottom w:val="0"/>
      <w:divBdr>
        <w:top w:val="none" w:sz="0" w:space="0" w:color="auto"/>
        <w:left w:val="none" w:sz="0" w:space="0" w:color="auto"/>
        <w:bottom w:val="none" w:sz="0" w:space="0" w:color="auto"/>
        <w:right w:val="none" w:sz="0" w:space="0" w:color="auto"/>
      </w:divBdr>
    </w:div>
    <w:div w:id="562181215">
      <w:bodyDiv w:val="1"/>
      <w:marLeft w:val="0"/>
      <w:marRight w:val="0"/>
      <w:marTop w:val="0"/>
      <w:marBottom w:val="0"/>
      <w:divBdr>
        <w:top w:val="none" w:sz="0" w:space="0" w:color="auto"/>
        <w:left w:val="none" w:sz="0" w:space="0" w:color="auto"/>
        <w:bottom w:val="none" w:sz="0" w:space="0" w:color="auto"/>
        <w:right w:val="none" w:sz="0" w:space="0" w:color="auto"/>
      </w:divBdr>
      <w:divsChild>
        <w:div w:id="421529077">
          <w:marLeft w:val="0"/>
          <w:marRight w:val="0"/>
          <w:marTop w:val="0"/>
          <w:marBottom w:val="0"/>
          <w:divBdr>
            <w:top w:val="none" w:sz="0" w:space="0" w:color="auto"/>
            <w:left w:val="none" w:sz="0" w:space="0" w:color="auto"/>
            <w:bottom w:val="none" w:sz="0" w:space="0" w:color="auto"/>
            <w:right w:val="none" w:sz="0" w:space="0" w:color="auto"/>
          </w:divBdr>
          <w:divsChild>
            <w:div w:id="1390299772">
              <w:marLeft w:val="0"/>
              <w:marRight w:val="0"/>
              <w:marTop w:val="0"/>
              <w:marBottom w:val="0"/>
              <w:divBdr>
                <w:top w:val="none" w:sz="0" w:space="0" w:color="auto"/>
                <w:left w:val="none" w:sz="0" w:space="0" w:color="auto"/>
                <w:bottom w:val="none" w:sz="0" w:space="0" w:color="auto"/>
                <w:right w:val="none" w:sz="0" w:space="0" w:color="auto"/>
              </w:divBdr>
              <w:divsChild>
                <w:div w:id="195192114">
                  <w:marLeft w:val="0"/>
                  <w:marRight w:val="0"/>
                  <w:marTop w:val="0"/>
                  <w:marBottom w:val="0"/>
                  <w:divBdr>
                    <w:top w:val="none" w:sz="0" w:space="0" w:color="auto"/>
                    <w:left w:val="none" w:sz="0" w:space="0" w:color="auto"/>
                    <w:bottom w:val="none" w:sz="0" w:space="0" w:color="auto"/>
                    <w:right w:val="none" w:sz="0" w:space="0" w:color="auto"/>
                  </w:divBdr>
                  <w:divsChild>
                    <w:div w:id="1481337810">
                      <w:marLeft w:val="0"/>
                      <w:marRight w:val="0"/>
                      <w:marTop w:val="0"/>
                      <w:marBottom w:val="0"/>
                      <w:divBdr>
                        <w:top w:val="none" w:sz="0" w:space="0" w:color="auto"/>
                        <w:left w:val="none" w:sz="0" w:space="0" w:color="auto"/>
                        <w:bottom w:val="none" w:sz="0" w:space="0" w:color="auto"/>
                        <w:right w:val="none" w:sz="0" w:space="0" w:color="auto"/>
                      </w:divBdr>
                    </w:div>
                  </w:divsChild>
                </w:div>
                <w:div w:id="1058631552">
                  <w:marLeft w:val="0"/>
                  <w:marRight w:val="0"/>
                  <w:marTop w:val="0"/>
                  <w:marBottom w:val="0"/>
                  <w:divBdr>
                    <w:top w:val="none" w:sz="0" w:space="0" w:color="auto"/>
                    <w:left w:val="none" w:sz="0" w:space="0" w:color="auto"/>
                    <w:bottom w:val="none" w:sz="0" w:space="0" w:color="auto"/>
                    <w:right w:val="none" w:sz="0" w:space="0" w:color="auto"/>
                  </w:divBdr>
                  <w:divsChild>
                    <w:div w:id="707878306">
                      <w:marLeft w:val="0"/>
                      <w:marRight w:val="0"/>
                      <w:marTop w:val="0"/>
                      <w:marBottom w:val="0"/>
                      <w:divBdr>
                        <w:top w:val="none" w:sz="0" w:space="0" w:color="auto"/>
                        <w:left w:val="none" w:sz="0" w:space="0" w:color="auto"/>
                        <w:bottom w:val="none" w:sz="0" w:space="0" w:color="auto"/>
                        <w:right w:val="none" w:sz="0" w:space="0" w:color="auto"/>
                      </w:divBdr>
                    </w:div>
                  </w:divsChild>
                </w:div>
                <w:div w:id="1563640461">
                  <w:marLeft w:val="0"/>
                  <w:marRight w:val="0"/>
                  <w:marTop w:val="0"/>
                  <w:marBottom w:val="0"/>
                  <w:divBdr>
                    <w:top w:val="none" w:sz="0" w:space="0" w:color="auto"/>
                    <w:left w:val="none" w:sz="0" w:space="0" w:color="auto"/>
                    <w:bottom w:val="none" w:sz="0" w:space="0" w:color="auto"/>
                    <w:right w:val="none" w:sz="0" w:space="0" w:color="auto"/>
                  </w:divBdr>
                  <w:divsChild>
                    <w:div w:id="8496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54328">
      <w:bodyDiv w:val="1"/>
      <w:marLeft w:val="0"/>
      <w:marRight w:val="0"/>
      <w:marTop w:val="0"/>
      <w:marBottom w:val="0"/>
      <w:divBdr>
        <w:top w:val="none" w:sz="0" w:space="0" w:color="auto"/>
        <w:left w:val="none" w:sz="0" w:space="0" w:color="auto"/>
        <w:bottom w:val="none" w:sz="0" w:space="0" w:color="auto"/>
        <w:right w:val="none" w:sz="0" w:space="0" w:color="auto"/>
      </w:divBdr>
    </w:div>
    <w:div w:id="624122230">
      <w:bodyDiv w:val="1"/>
      <w:marLeft w:val="0"/>
      <w:marRight w:val="0"/>
      <w:marTop w:val="0"/>
      <w:marBottom w:val="0"/>
      <w:divBdr>
        <w:top w:val="none" w:sz="0" w:space="0" w:color="auto"/>
        <w:left w:val="none" w:sz="0" w:space="0" w:color="auto"/>
        <w:bottom w:val="none" w:sz="0" w:space="0" w:color="auto"/>
        <w:right w:val="none" w:sz="0" w:space="0" w:color="auto"/>
      </w:divBdr>
    </w:div>
    <w:div w:id="629090837">
      <w:bodyDiv w:val="1"/>
      <w:marLeft w:val="0"/>
      <w:marRight w:val="0"/>
      <w:marTop w:val="0"/>
      <w:marBottom w:val="0"/>
      <w:divBdr>
        <w:top w:val="none" w:sz="0" w:space="0" w:color="auto"/>
        <w:left w:val="none" w:sz="0" w:space="0" w:color="auto"/>
        <w:bottom w:val="none" w:sz="0" w:space="0" w:color="auto"/>
        <w:right w:val="none" w:sz="0" w:space="0" w:color="auto"/>
      </w:divBdr>
    </w:div>
    <w:div w:id="657416058">
      <w:bodyDiv w:val="1"/>
      <w:marLeft w:val="0"/>
      <w:marRight w:val="0"/>
      <w:marTop w:val="0"/>
      <w:marBottom w:val="0"/>
      <w:divBdr>
        <w:top w:val="none" w:sz="0" w:space="0" w:color="auto"/>
        <w:left w:val="none" w:sz="0" w:space="0" w:color="auto"/>
        <w:bottom w:val="none" w:sz="0" w:space="0" w:color="auto"/>
        <w:right w:val="none" w:sz="0" w:space="0" w:color="auto"/>
      </w:divBdr>
    </w:div>
    <w:div w:id="669480051">
      <w:bodyDiv w:val="1"/>
      <w:marLeft w:val="0"/>
      <w:marRight w:val="0"/>
      <w:marTop w:val="0"/>
      <w:marBottom w:val="0"/>
      <w:divBdr>
        <w:top w:val="none" w:sz="0" w:space="0" w:color="auto"/>
        <w:left w:val="none" w:sz="0" w:space="0" w:color="auto"/>
        <w:bottom w:val="none" w:sz="0" w:space="0" w:color="auto"/>
        <w:right w:val="none" w:sz="0" w:space="0" w:color="auto"/>
      </w:divBdr>
    </w:div>
    <w:div w:id="673603852">
      <w:bodyDiv w:val="1"/>
      <w:marLeft w:val="0"/>
      <w:marRight w:val="0"/>
      <w:marTop w:val="0"/>
      <w:marBottom w:val="0"/>
      <w:divBdr>
        <w:top w:val="none" w:sz="0" w:space="0" w:color="auto"/>
        <w:left w:val="none" w:sz="0" w:space="0" w:color="auto"/>
        <w:bottom w:val="none" w:sz="0" w:space="0" w:color="auto"/>
        <w:right w:val="none" w:sz="0" w:space="0" w:color="auto"/>
      </w:divBdr>
    </w:div>
    <w:div w:id="674653723">
      <w:bodyDiv w:val="1"/>
      <w:marLeft w:val="0"/>
      <w:marRight w:val="0"/>
      <w:marTop w:val="0"/>
      <w:marBottom w:val="0"/>
      <w:divBdr>
        <w:top w:val="none" w:sz="0" w:space="0" w:color="auto"/>
        <w:left w:val="none" w:sz="0" w:space="0" w:color="auto"/>
        <w:bottom w:val="none" w:sz="0" w:space="0" w:color="auto"/>
        <w:right w:val="none" w:sz="0" w:space="0" w:color="auto"/>
      </w:divBdr>
    </w:div>
    <w:div w:id="715933098">
      <w:bodyDiv w:val="1"/>
      <w:marLeft w:val="0"/>
      <w:marRight w:val="0"/>
      <w:marTop w:val="0"/>
      <w:marBottom w:val="0"/>
      <w:divBdr>
        <w:top w:val="none" w:sz="0" w:space="0" w:color="auto"/>
        <w:left w:val="none" w:sz="0" w:space="0" w:color="auto"/>
        <w:bottom w:val="none" w:sz="0" w:space="0" w:color="auto"/>
        <w:right w:val="none" w:sz="0" w:space="0" w:color="auto"/>
      </w:divBdr>
      <w:divsChild>
        <w:div w:id="178860160">
          <w:marLeft w:val="0"/>
          <w:marRight w:val="0"/>
          <w:marTop w:val="0"/>
          <w:marBottom w:val="0"/>
          <w:divBdr>
            <w:top w:val="none" w:sz="0" w:space="0" w:color="auto"/>
            <w:left w:val="none" w:sz="0" w:space="0" w:color="auto"/>
            <w:bottom w:val="none" w:sz="0" w:space="0" w:color="auto"/>
            <w:right w:val="none" w:sz="0" w:space="0" w:color="auto"/>
          </w:divBdr>
          <w:divsChild>
            <w:div w:id="1755317128">
              <w:marLeft w:val="0"/>
              <w:marRight w:val="0"/>
              <w:marTop w:val="0"/>
              <w:marBottom w:val="0"/>
              <w:divBdr>
                <w:top w:val="none" w:sz="0" w:space="0" w:color="auto"/>
                <w:left w:val="none" w:sz="0" w:space="0" w:color="auto"/>
                <w:bottom w:val="none" w:sz="0" w:space="0" w:color="auto"/>
                <w:right w:val="none" w:sz="0" w:space="0" w:color="auto"/>
              </w:divBdr>
              <w:divsChild>
                <w:div w:id="2069838915">
                  <w:marLeft w:val="0"/>
                  <w:marRight w:val="0"/>
                  <w:marTop w:val="0"/>
                  <w:marBottom w:val="0"/>
                  <w:divBdr>
                    <w:top w:val="none" w:sz="0" w:space="0" w:color="auto"/>
                    <w:left w:val="none" w:sz="0" w:space="0" w:color="auto"/>
                    <w:bottom w:val="none" w:sz="0" w:space="0" w:color="auto"/>
                    <w:right w:val="none" w:sz="0" w:space="0" w:color="auto"/>
                  </w:divBdr>
                  <w:divsChild>
                    <w:div w:id="8565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00903">
      <w:bodyDiv w:val="1"/>
      <w:marLeft w:val="0"/>
      <w:marRight w:val="0"/>
      <w:marTop w:val="0"/>
      <w:marBottom w:val="0"/>
      <w:divBdr>
        <w:top w:val="none" w:sz="0" w:space="0" w:color="auto"/>
        <w:left w:val="none" w:sz="0" w:space="0" w:color="auto"/>
        <w:bottom w:val="none" w:sz="0" w:space="0" w:color="auto"/>
        <w:right w:val="none" w:sz="0" w:space="0" w:color="auto"/>
      </w:divBdr>
    </w:div>
    <w:div w:id="736394101">
      <w:bodyDiv w:val="1"/>
      <w:marLeft w:val="0"/>
      <w:marRight w:val="0"/>
      <w:marTop w:val="0"/>
      <w:marBottom w:val="0"/>
      <w:divBdr>
        <w:top w:val="none" w:sz="0" w:space="0" w:color="auto"/>
        <w:left w:val="none" w:sz="0" w:space="0" w:color="auto"/>
        <w:bottom w:val="none" w:sz="0" w:space="0" w:color="auto"/>
        <w:right w:val="none" w:sz="0" w:space="0" w:color="auto"/>
      </w:divBdr>
    </w:div>
    <w:div w:id="740300219">
      <w:bodyDiv w:val="1"/>
      <w:marLeft w:val="0"/>
      <w:marRight w:val="0"/>
      <w:marTop w:val="0"/>
      <w:marBottom w:val="0"/>
      <w:divBdr>
        <w:top w:val="none" w:sz="0" w:space="0" w:color="auto"/>
        <w:left w:val="none" w:sz="0" w:space="0" w:color="auto"/>
        <w:bottom w:val="none" w:sz="0" w:space="0" w:color="auto"/>
        <w:right w:val="none" w:sz="0" w:space="0" w:color="auto"/>
      </w:divBdr>
    </w:div>
    <w:div w:id="742531505">
      <w:bodyDiv w:val="1"/>
      <w:marLeft w:val="0"/>
      <w:marRight w:val="0"/>
      <w:marTop w:val="0"/>
      <w:marBottom w:val="0"/>
      <w:divBdr>
        <w:top w:val="none" w:sz="0" w:space="0" w:color="auto"/>
        <w:left w:val="none" w:sz="0" w:space="0" w:color="auto"/>
        <w:bottom w:val="none" w:sz="0" w:space="0" w:color="auto"/>
        <w:right w:val="none" w:sz="0" w:space="0" w:color="auto"/>
      </w:divBdr>
    </w:div>
    <w:div w:id="758065588">
      <w:bodyDiv w:val="1"/>
      <w:marLeft w:val="0"/>
      <w:marRight w:val="0"/>
      <w:marTop w:val="0"/>
      <w:marBottom w:val="0"/>
      <w:divBdr>
        <w:top w:val="none" w:sz="0" w:space="0" w:color="auto"/>
        <w:left w:val="none" w:sz="0" w:space="0" w:color="auto"/>
        <w:bottom w:val="none" w:sz="0" w:space="0" w:color="auto"/>
        <w:right w:val="none" w:sz="0" w:space="0" w:color="auto"/>
      </w:divBdr>
    </w:div>
    <w:div w:id="770585449">
      <w:bodyDiv w:val="1"/>
      <w:marLeft w:val="0"/>
      <w:marRight w:val="0"/>
      <w:marTop w:val="0"/>
      <w:marBottom w:val="0"/>
      <w:divBdr>
        <w:top w:val="none" w:sz="0" w:space="0" w:color="auto"/>
        <w:left w:val="none" w:sz="0" w:space="0" w:color="auto"/>
        <w:bottom w:val="none" w:sz="0" w:space="0" w:color="auto"/>
        <w:right w:val="none" w:sz="0" w:space="0" w:color="auto"/>
      </w:divBdr>
    </w:div>
    <w:div w:id="792941427">
      <w:bodyDiv w:val="1"/>
      <w:marLeft w:val="0"/>
      <w:marRight w:val="0"/>
      <w:marTop w:val="0"/>
      <w:marBottom w:val="0"/>
      <w:divBdr>
        <w:top w:val="none" w:sz="0" w:space="0" w:color="auto"/>
        <w:left w:val="none" w:sz="0" w:space="0" w:color="auto"/>
        <w:bottom w:val="none" w:sz="0" w:space="0" w:color="auto"/>
        <w:right w:val="none" w:sz="0" w:space="0" w:color="auto"/>
      </w:divBdr>
    </w:div>
    <w:div w:id="807279218">
      <w:bodyDiv w:val="1"/>
      <w:marLeft w:val="0"/>
      <w:marRight w:val="0"/>
      <w:marTop w:val="0"/>
      <w:marBottom w:val="0"/>
      <w:divBdr>
        <w:top w:val="none" w:sz="0" w:space="0" w:color="auto"/>
        <w:left w:val="none" w:sz="0" w:space="0" w:color="auto"/>
        <w:bottom w:val="none" w:sz="0" w:space="0" w:color="auto"/>
        <w:right w:val="none" w:sz="0" w:space="0" w:color="auto"/>
      </w:divBdr>
    </w:div>
    <w:div w:id="815412225">
      <w:bodyDiv w:val="1"/>
      <w:marLeft w:val="0"/>
      <w:marRight w:val="0"/>
      <w:marTop w:val="0"/>
      <w:marBottom w:val="0"/>
      <w:divBdr>
        <w:top w:val="none" w:sz="0" w:space="0" w:color="auto"/>
        <w:left w:val="none" w:sz="0" w:space="0" w:color="auto"/>
        <w:bottom w:val="none" w:sz="0" w:space="0" w:color="auto"/>
        <w:right w:val="none" w:sz="0" w:space="0" w:color="auto"/>
      </w:divBdr>
    </w:div>
    <w:div w:id="820003914">
      <w:bodyDiv w:val="1"/>
      <w:marLeft w:val="0"/>
      <w:marRight w:val="0"/>
      <w:marTop w:val="0"/>
      <w:marBottom w:val="0"/>
      <w:divBdr>
        <w:top w:val="none" w:sz="0" w:space="0" w:color="auto"/>
        <w:left w:val="none" w:sz="0" w:space="0" w:color="auto"/>
        <w:bottom w:val="none" w:sz="0" w:space="0" w:color="auto"/>
        <w:right w:val="none" w:sz="0" w:space="0" w:color="auto"/>
      </w:divBdr>
    </w:div>
    <w:div w:id="852037750">
      <w:bodyDiv w:val="1"/>
      <w:marLeft w:val="0"/>
      <w:marRight w:val="0"/>
      <w:marTop w:val="0"/>
      <w:marBottom w:val="0"/>
      <w:divBdr>
        <w:top w:val="none" w:sz="0" w:space="0" w:color="auto"/>
        <w:left w:val="none" w:sz="0" w:space="0" w:color="auto"/>
        <w:bottom w:val="none" w:sz="0" w:space="0" w:color="auto"/>
        <w:right w:val="none" w:sz="0" w:space="0" w:color="auto"/>
      </w:divBdr>
    </w:div>
    <w:div w:id="854999745">
      <w:bodyDiv w:val="1"/>
      <w:marLeft w:val="0"/>
      <w:marRight w:val="0"/>
      <w:marTop w:val="0"/>
      <w:marBottom w:val="0"/>
      <w:divBdr>
        <w:top w:val="none" w:sz="0" w:space="0" w:color="auto"/>
        <w:left w:val="none" w:sz="0" w:space="0" w:color="auto"/>
        <w:bottom w:val="none" w:sz="0" w:space="0" w:color="auto"/>
        <w:right w:val="none" w:sz="0" w:space="0" w:color="auto"/>
      </w:divBdr>
    </w:div>
    <w:div w:id="870339344">
      <w:bodyDiv w:val="1"/>
      <w:marLeft w:val="0"/>
      <w:marRight w:val="0"/>
      <w:marTop w:val="0"/>
      <w:marBottom w:val="0"/>
      <w:divBdr>
        <w:top w:val="none" w:sz="0" w:space="0" w:color="auto"/>
        <w:left w:val="none" w:sz="0" w:space="0" w:color="auto"/>
        <w:bottom w:val="none" w:sz="0" w:space="0" w:color="auto"/>
        <w:right w:val="none" w:sz="0" w:space="0" w:color="auto"/>
      </w:divBdr>
    </w:div>
    <w:div w:id="978805219">
      <w:bodyDiv w:val="1"/>
      <w:marLeft w:val="0"/>
      <w:marRight w:val="0"/>
      <w:marTop w:val="0"/>
      <w:marBottom w:val="0"/>
      <w:divBdr>
        <w:top w:val="none" w:sz="0" w:space="0" w:color="auto"/>
        <w:left w:val="none" w:sz="0" w:space="0" w:color="auto"/>
        <w:bottom w:val="none" w:sz="0" w:space="0" w:color="auto"/>
        <w:right w:val="none" w:sz="0" w:space="0" w:color="auto"/>
      </w:divBdr>
    </w:div>
    <w:div w:id="1000540542">
      <w:bodyDiv w:val="1"/>
      <w:marLeft w:val="0"/>
      <w:marRight w:val="0"/>
      <w:marTop w:val="0"/>
      <w:marBottom w:val="0"/>
      <w:divBdr>
        <w:top w:val="none" w:sz="0" w:space="0" w:color="auto"/>
        <w:left w:val="none" w:sz="0" w:space="0" w:color="auto"/>
        <w:bottom w:val="none" w:sz="0" w:space="0" w:color="auto"/>
        <w:right w:val="none" w:sz="0" w:space="0" w:color="auto"/>
      </w:divBdr>
    </w:div>
    <w:div w:id="1069964998">
      <w:bodyDiv w:val="1"/>
      <w:marLeft w:val="0"/>
      <w:marRight w:val="0"/>
      <w:marTop w:val="0"/>
      <w:marBottom w:val="0"/>
      <w:divBdr>
        <w:top w:val="none" w:sz="0" w:space="0" w:color="auto"/>
        <w:left w:val="none" w:sz="0" w:space="0" w:color="auto"/>
        <w:bottom w:val="none" w:sz="0" w:space="0" w:color="auto"/>
        <w:right w:val="none" w:sz="0" w:space="0" w:color="auto"/>
      </w:divBdr>
    </w:div>
    <w:div w:id="1071658788">
      <w:bodyDiv w:val="1"/>
      <w:marLeft w:val="0"/>
      <w:marRight w:val="0"/>
      <w:marTop w:val="0"/>
      <w:marBottom w:val="0"/>
      <w:divBdr>
        <w:top w:val="none" w:sz="0" w:space="0" w:color="auto"/>
        <w:left w:val="none" w:sz="0" w:space="0" w:color="auto"/>
        <w:bottom w:val="none" w:sz="0" w:space="0" w:color="auto"/>
        <w:right w:val="none" w:sz="0" w:space="0" w:color="auto"/>
      </w:divBdr>
    </w:div>
    <w:div w:id="1127771586">
      <w:bodyDiv w:val="1"/>
      <w:marLeft w:val="0"/>
      <w:marRight w:val="0"/>
      <w:marTop w:val="0"/>
      <w:marBottom w:val="0"/>
      <w:divBdr>
        <w:top w:val="none" w:sz="0" w:space="0" w:color="auto"/>
        <w:left w:val="none" w:sz="0" w:space="0" w:color="auto"/>
        <w:bottom w:val="none" w:sz="0" w:space="0" w:color="auto"/>
        <w:right w:val="none" w:sz="0" w:space="0" w:color="auto"/>
      </w:divBdr>
    </w:div>
    <w:div w:id="1137995658">
      <w:bodyDiv w:val="1"/>
      <w:marLeft w:val="0"/>
      <w:marRight w:val="0"/>
      <w:marTop w:val="0"/>
      <w:marBottom w:val="0"/>
      <w:divBdr>
        <w:top w:val="none" w:sz="0" w:space="0" w:color="auto"/>
        <w:left w:val="none" w:sz="0" w:space="0" w:color="auto"/>
        <w:bottom w:val="none" w:sz="0" w:space="0" w:color="auto"/>
        <w:right w:val="none" w:sz="0" w:space="0" w:color="auto"/>
      </w:divBdr>
    </w:div>
    <w:div w:id="1149250994">
      <w:bodyDiv w:val="1"/>
      <w:marLeft w:val="0"/>
      <w:marRight w:val="0"/>
      <w:marTop w:val="0"/>
      <w:marBottom w:val="0"/>
      <w:divBdr>
        <w:top w:val="none" w:sz="0" w:space="0" w:color="auto"/>
        <w:left w:val="none" w:sz="0" w:space="0" w:color="auto"/>
        <w:bottom w:val="none" w:sz="0" w:space="0" w:color="auto"/>
        <w:right w:val="none" w:sz="0" w:space="0" w:color="auto"/>
      </w:divBdr>
    </w:div>
    <w:div w:id="1153450127">
      <w:bodyDiv w:val="1"/>
      <w:marLeft w:val="0"/>
      <w:marRight w:val="0"/>
      <w:marTop w:val="0"/>
      <w:marBottom w:val="0"/>
      <w:divBdr>
        <w:top w:val="none" w:sz="0" w:space="0" w:color="auto"/>
        <w:left w:val="none" w:sz="0" w:space="0" w:color="auto"/>
        <w:bottom w:val="none" w:sz="0" w:space="0" w:color="auto"/>
        <w:right w:val="none" w:sz="0" w:space="0" w:color="auto"/>
      </w:divBdr>
    </w:div>
    <w:div w:id="1167405881">
      <w:bodyDiv w:val="1"/>
      <w:marLeft w:val="0"/>
      <w:marRight w:val="0"/>
      <w:marTop w:val="0"/>
      <w:marBottom w:val="0"/>
      <w:divBdr>
        <w:top w:val="none" w:sz="0" w:space="0" w:color="auto"/>
        <w:left w:val="none" w:sz="0" w:space="0" w:color="auto"/>
        <w:bottom w:val="none" w:sz="0" w:space="0" w:color="auto"/>
        <w:right w:val="none" w:sz="0" w:space="0" w:color="auto"/>
      </w:divBdr>
      <w:divsChild>
        <w:div w:id="1575775084">
          <w:marLeft w:val="0"/>
          <w:marRight w:val="0"/>
          <w:marTop w:val="0"/>
          <w:marBottom w:val="0"/>
          <w:divBdr>
            <w:top w:val="none" w:sz="0" w:space="0" w:color="auto"/>
            <w:left w:val="none" w:sz="0" w:space="0" w:color="auto"/>
            <w:bottom w:val="none" w:sz="0" w:space="0" w:color="auto"/>
            <w:right w:val="none" w:sz="0" w:space="0" w:color="auto"/>
          </w:divBdr>
          <w:divsChild>
            <w:div w:id="1012417970">
              <w:marLeft w:val="0"/>
              <w:marRight w:val="0"/>
              <w:marTop w:val="0"/>
              <w:marBottom w:val="0"/>
              <w:divBdr>
                <w:top w:val="none" w:sz="0" w:space="0" w:color="auto"/>
                <w:left w:val="none" w:sz="0" w:space="0" w:color="auto"/>
                <w:bottom w:val="none" w:sz="0" w:space="0" w:color="auto"/>
                <w:right w:val="none" w:sz="0" w:space="0" w:color="auto"/>
              </w:divBdr>
              <w:divsChild>
                <w:div w:id="346491538">
                  <w:marLeft w:val="0"/>
                  <w:marRight w:val="0"/>
                  <w:marTop w:val="0"/>
                  <w:marBottom w:val="0"/>
                  <w:divBdr>
                    <w:top w:val="none" w:sz="0" w:space="0" w:color="auto"/>
                    <w:left w:val="none" w:sz="0" w:space="0" w:color="auto"/>
                    <w:bottom w:val="none" w:sz="0" w:space="0" w:color="auto"/>
                    <w:right w:val="none" w:sz="0" w:space="0" w:color="auto"/>
                  </w:divBdr>
                  <w:divsChild>
                    <w:div w:id="62265843">
                      <w:marLeft w:val="0"/>
                      <w:marRight w:val="0"/>
                      <w:marTop w:val="0"/>
                      <w:marBottom w:val="0"/>
                      <w:divBdr>
                        <w:top w:val="none" w:sz="0" w:space="0" w:color="auto"/>
                        <w:left w:val="none" w:sz="0" w:space="0" w:color="auto"/>
                        <w:bottom w:val="none" w:sz="0" w:space="0" w:color="auto"/>
                        <w:right w:val="none" w:sz="0" w:space="0" w:color="auto"/>
                      </w:divBdr>
                    </w:div>
                  </w:divsChild>
                </w:div>
                <w:div w:id="890189396">
                  <w:marLeft w:val="0"/>
                  <w:marRight w:val="0"/>
                  <w:marTop w:val="0"/>
                  <w:marBottom w:val="0"/>
                  <w:divBdr>
                    <w:top w:val="none" w:sz="0" w:space="0" w:color="auto"/>
                    <w:left w:val="none" w:sz="0" w:space="0" w:color="auto"/>
                    <w:bottom w:val="none" w:sz="0" w:space="0" w:color="auto"/>
                    <w:right w:val="none" w:sz="0" w:space="0" w:color="auto"/>
                  </w:divBdr>
                  <w:divsChild>
                    <w:div w:id="510611860">
                      <w:marLeft w:val="0"/>
                      <w:marRight w:val="0"/>
                      <w:marTop w:val="0"/>
                      <w:marBottom w:val="0"/>
                      <w:divBdr>
                        <w:top w:val="none" w:sz="0" w:space="0" w:color="auto"/>
                        <w:left w:val="none" w:sz="0" w:space="0" w:color="auto"/>
                        <w:bottom w:val="none" w:sz="0" w:space="0" w:color="auto"/>
                        <w:right w:val="none" w:sz="0" w:space="0" w:color="auto"/>
                      </w:divBdr>
                    </w:div>
                  </w:divsChild>
                </w:div>
                <w:div w:id="1804229392">
                  <w:marLeft w:val="0"/>
                  <w:marRight w:val="0"/>
                  <w:marTop w:val="0"/>
                  <w:marBottom w:val="0"/>
                  <w:divBdr>
                    <w:top w:val="none" w:sz="0" w:space="0" w:color="auto"/>
                    <w:left w:val="none" w:sz="0" w:space="0" w:color="auto"/>
                    <w:bottom w:val="none" w:sz="0" w:space="0" w:color="auto"/>
                    <w:right w:val="none" w:sz="0" w:space="0" w:color="auto"/>
                  </w:divBdr>
                  <w:divsChild>
                    <w:div w:id="4733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21761">
      <w:bodyDiv w:val="1"/>
      <w:marLeft w:val="0"/>
      <w:marRight w:val="0"/>
      <w:marTop w:val="0"/>
      <w:marBottom w:val="0"/>
      <w:divBdr>
        <w:top w:val="none" w:sz="0" w:space="0" w:color="auto"/>
        <w:left w:val="none" w:sz="0" w:space="0" w:color="auto"/>
        <w:bottom w:val="none" w:sz="0" w:space="0" w:color="auto"/>
        <w:right w:val="none" w:sz="0" w:space="0" w:color="auto"/>
      </w:divBdr>
    </w:div>
    <w:div w:id="1176765809">
      <w:bodyDiv w:val="1"/>
      <w:marLeft w:val="0"/>
      <w:marRight w:val="0"/>
      <w:marTop w:val="0"/>
      <w:marBottom w:val="0"/>
      <w:divBdr>
        <w:top w:val="none" w:sz="0" w:space="0" w:color="auto"/>
        <w:left w:val="none" w:sz="0" w:space="0" w:color="auto"/>
        <w:bottom w:val="none" w:sz="0" w:space="0" w:color="auto"/>
        <w:right w:val="none" w:sz="0" w:space="0" w:color="auto"/>
      </w:divBdr>
    </w:div>
    <w:div w:id="1196387504">
      <w:bodyDiv w:val="1"/>
      <w:marLeft w:val="0"/>
      <w:marRight w:val="0"/>
      <w:marTop w:val="0"/>
      <w:marBottom w:val="0"/>
      <w:divBdr>
        <w:top w:val="none" w:sz="0" w:space="0" w:color="auto"/>
        <w:left w:val="none" w:sz="0" w:space="0" w:color="auto"/>
        <w:bottom w:val="none" w:sz="0" w:space="0" w:color="auto"/>
        <w:right w:val="none" w:sz="0" w:space="0" w:color="auto"/>
      </w:divBdr>
      <w:divsChild>
        <w:div w:id="1486819734">
          <w:marLeft w:val="0"/>
          <w:marRight w:val="0"/>
          <w:marTop w:val="0"/>
          <w:marBottom w:val="0"/>
          <w:divBdr>
            <w:top w:val="none" w:sz="0" w:space="0" w:color="auto"/>
            <w:left w:val="none" w:sz="0" w:space="0" w:color="auto"/>
            <w:bottom w:val="none" w:sz="0" w:space="0" w:color="auto"/>
            <w:right w:val="none" w:sz="0" w:space="0" w:color="auto"/>
          </w:divBdr>
          <w:divsChild>
            <w:div w:id="1767144422">
              <w:marLeft w:val="0"/>
              <w:marRight w:val="0"/>
              <w:marTop w:val="0"/>
              <w:marBottom w:val="0"/>
              <w:divBdr>
                <w:top w:val="none" w:sz="0" w:space="0" w:color="auto"/>
                <w:left w:val="none" w:sz="0" w:space="0" w:color="auto"/>
                <w:bottom w:val="none" w:sz="0" w:space="0" w:color="auto"/>
                <w:right w:val="none" w:sz="0" w:space="0" w:color="auto"/>
              </w:divBdr>
              <w:divsChild>
                <w:div w:id="1244686866">
                  <w:marLeft w:val="0"/>
                  <w:marRight w:val="0"/>
                  <w:marTop w:val="0"/>
                  <w:marBottom w:val="0"/>
                  <w:divBdr>
                    <w:top w:val="none" w:sz="0" w:space="0" w:color="auto"/>
                    <w:left w:val="none" w:sz="0" w:space="0" w:color="auto"/>
                    <w:bottom w:val="none" w:sz="0" w:space="0" w:color="auto"/>
                    <w:right w:val="none" w:sz="0" w:space="0" w:color="auto"/>
                  </w:divBdr>
                  <w:divsChild>
                    <w:div w:id="11416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73820">
      <w:bodyDiv w:val="1"/>
      <w:marLeft w:val="0"/>
      <w:marRight w:val="0"/>
      <w:marTop w:val="0"/>
      <w:marBottom w:val="0"/>
      <w:divBdr>
        <w:top w:val="none" w:sz="0" w:space="0" w:color="auto"/>
        <w:left w:val="none" w:sz="0" w:space="0" w:color="auto"/>
        <w:bottom w:val="none" w:sz="0" w:space="0" w:color="auto"/>
        <w:right w:val="none" w:sz="0" w:space="0" w:color="auto"/>
      </w:divBdr>
    </w:div>
    <w:div w:id="1215308530">
      <w:bodyDiv w:val="1"/>
      <w:marLeft w:val="0"/>
      <w:marRight w:val="0"/>
      <w:marTop w:val="0"/>
      <w:marBottom w:val="0"/>
      <w:divBdr>
        <w:top w:val="none" w:sz="0" w:space="0" w:color="auto"/>
        <w:left w:val="none" w:sz="0" w:space="0" w:color="auto"/>
        <w:bottom w:val="none" w:sz="0" w:space="0" w:color="auto"/>
        <w:right w:val="none" w:sz="0" w:space="0" w:color="auto"/>
      </w:divBdr>
    </w:div>
    <w:div w:id="1219702855">
      <w:bodyDiv w:val="1"/>
      <w:marLeft w:val="0"/>
      <w:marRight w:val="0"/>
      <w:marTop w:val="0"/>
      <w:marBottom w:val="0"/>
      <w:divBdr>
        <w:top w:val="none" w:sz="0" w:space="0" w:color="auto"/>
        <w:left w:val="none" w:sz="0" w:space="0" w:color="auto"/>
        <w:bottom w:val="none" w:sz="0" w:space="0" w:color="auto"/>
        <w:right w:val="none" w:sz="0" w:space="0" w:color="auto"/>
      </w:divBdr>
    </w:div>
    <w:div w:id="1241528363">
      <w:bodyDiv w:val="1"/>
      <w:marLeft w:val="0"/>
      <w:marRight w:val="0"/>
      <w:marTop w:val="0"/>
      <w:marBottom w:val="0"/>
      <w:divBdr>
        <w:top w:val="none" w:sz="0" w:space="0" w:color="auto"/>
        <w:left w:val="none" w:sz="0" w:space="0" w:color="auto"/>
        <w:bottom w:val="none" w:sz="0" w:space="0" w:color="auto"/>
        <w:right w:val="none" w:sz="0" w:space="0" w:color="auto"/>
      </w:divBdr>
    </w:div>
    <w:div w:id="1273632538">
      <w:bodyDiv w:val="1"/>
      <w:marLeft w:val="0"/>
      <w:marRight w:val="0"/>
      <w:marTop w:val="0"/>
      <w:marBottom w:val="0"/>
      <w:divBdr>
        <w:top w:val="none" w:sz="0" w:space="0" w:color="auto"/>
        <w:left w:val="none" w:sz="0" w:space="0" w:color="auto"/>
        <w:bottom w:val="none" w:sz="0" w:space="0" w:color="auto"/>
        <w:right w:val="none" w:sz="0" w:space="0" w:color="auto"/>
      </w:divBdr>
    </w:div>
    <w:div w:id="1286236999">
      <w:bodyDiv w:val="1"/>
      <w:marLeft w:val="0"/>
      <w:marRight w:val="0"/>
      <w:marTop w:val="0"/>
      <w:marBottom w:val="0"/>
      <w:divBdr>
        <w:top w:val="none" w:sz="0" w:space="0" w:color="auto"/>
        <w:left w:val="none" w:sz="0" w:space="0" w:color="auto"/>
        <w:bottom w:val="none" w:sz="0" w:space="0" w:color="auto"/>
        <w:right w:val="none" w:sz="0" w:space="0" w:color="auto"/>
      </w:divBdr>
    </w:div>
    <w:div w:id="1308897143">
      <w:bodyDiv w:val="1"/>
      <w:marLeft w:val="0"/>
      <w:marRight w:val="0"/>
      <w:marTop w:val="0"/>
      <w:marBottom w:val="0"/>
      <w:divBdr>
        <w:top w:val="none" w:sz="0" w:space="0" w:color="auto"/>
        <w:left w:val="none" w:sz="0" w:space="0" w:color="auto"/>
        <w:bottom w:val="none" w:sz="0" w:space="0" w:color="auto"/>
        <w:right w:val="none" w:sz="0" w:space="0" w:color="auto"/>
      </w:divBdr>
    </w:div>
    <w:div w:id="1312055751">
      <w:bodyDiv w:val="1"/>
      <w:marLeft w:val="0"/>
      <w:marRight w:val="0"/>
      <w:marTop w:val="0"/>
      <w:marBottom w:val="0"/>
      <w:divBdr>
        <w:top w:val="none" w:sz="0" w:space="0" w:color="auto"/>
        <w:left w:val="none" w:sz="0" w:space="0" w:color="auto"/>
        <w:bottom w:val="none" w:sz="0" w:space="0" w:color="auto"/>
        <w:right w:val="none" w:sz="0" w:space="0" w:color="auto"/>
      </w:divBdr>
      <w:divsChild>
        <w:div w:id="1160583906">
          <w:marLeft w:val="0"/>
          <w:marRight w:val="0"/>
          <w:marTop w:val="0"/>
          <w:marBottom w:val="0"/>
          <w:divBdr>
            <w:top w:val="none" w:sz="0" w:space="0" w:color="auto"/>
            <w:left w:val="none" w:sz="0" w:space="0" w:color="auto"/>
            <w:bottom w:val="none" w:sz="0" w:space="0" w:color="auto"/>
            <w:right w:val="none" w:sz="0" w:space="0" w:color="auto"/>
          </w:divBdr>
          <w:divsChild>
            <w:div w:id="911083852">
              <w:marLeft w:val="0"/>
              <w:marRight w:val="0"/>
              <w:marTop w:val="0"/>
              <w:marBottom w:val="0"/>
              <w:divBdr>
                <w:top w:val="none" w:sz="0" w:space="0" w:color="auto"/>
                <w:left w:val="none" w:sz="0" w:space="0" w:color="auto"/>
                <w:bottom w:val="none" w:sz="0" w:space="0" w:color="auto"/>
                <w:right w:val="none" w:sz="0" w:space="0" w:color="auto"/>
              </w:divBdr>
              <w:divsChild>
                <w:div w:id="1708602343">
                  <w:marLeft w:val="0"/>
                  <w:marRight w:val="0"/>
                  <w:marTop w:val="0"/>
                  <w:marBottom w:val="0"/>
                  <w:divBdr>
                    <w:top w:val="none" w:sz="0" w:space="0" w:color="auto"/>
                    <w:left w:val="none" w:sz="0" w:space="0" w:color="auto"/>
                    <w:bottom w:val="none" w:sz="0" w:space="0" w:color="auto"/>
                    <w:right w:val="none" w:sz="0" w:space="0" w:color="auto"/>
                  </w:divBdr>
                  <w:divsChild>
                    <w:div w:id="8373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03846">
      <w:bodyDiv w:val="1"/>
      <w:marLeft w:val="0"/>
      <w:marRight w:val="0"/>
      <w:marTop w:val="0"/>
      <w:marBottom w:val="0"/>
      <w:divBdr>
        <w:top w:val="none" w:sz="0" w:space="0" w:color="auto"/>
        <w:left w:val="none" w:sz="0" w:space="0" w:color="auto"/>
        <w:bottom w:val="none" w:sz="0" w:space="0" w:color="auto"/>
        <w:right w:val="none" w:sz="0" w:space="0" w:color="auto"/>
      </w:divBdr>
    </w:div>
    <w:div w:id="1318995406">
      <w:bodyDiv w:val="1"/>
      <w:marLeft w:val="0"/>
      <w:marRight w:val="0"/>
      <w:marTop w:val="0"/>
      <w:marBottom w:val="0"/>
      <w:divBdr>
        <w:top w:val="none" w:sz="0" w:space="0" w:color="auto"/>
        <w:left w:val="none" w:sz="0" w:space="0" w:color="auto"/>
        <w:bottom w:val="none" w:sz="0" w:space="0" w:color="auto"/>
        <w:right w:val="none" w:sz="0" w:space="0" w:color="auto"/>
      </w:divBdr>
    </w:div>
    <w:div w:id="1346665087">
      <w:bodyDiv w:val="1"/>
      <w:marLeft w:val="0"/>
      <w:marRight w:val="0"/>
      <w:marTop w:val="0"/>
      <w:marBottom w:val="0"/>
      <w:divBdr>
        <w:top w:val="none" w:sz="0" w:space="0" w:color="auto"/>
        <w:left w:val="none" w:sz="0" w:space="0" w:color="auto"/>
        <w:bottom w:val="none" w:sz="0" w:space="0" w:color="auto"/>
        <w:right w:val="none" w:sz="0" w:space="0" w:color="auto"/>
      </w:divBdr>
    </w:div>
    <w:div w:id="1347362826">
      <w:bodyDiv w:val="1"/>
      <w:marLeft w:val="0"/>
      <w:marRight w:val="0"/>
      <w:marTop w:val="0"/>
      <w:marBottom w:val="0"/>
      <w:divBdr>
        <w:top w:val="none" w:sz="0" w:space="0" w:color="auto"/>
        <w:left w:val="none" w:sz="0" w:space="0" w:color="auto"/>
        <w:bottom w:val="none" w:sz="0" w:space="0" w:color="auto"/>
        <w:right w:val="none" w:sz="0" w:space="0" w:color="auto"/>
      </w:divBdr>
    </w:div>
    <w:div w:id="1352141961">
      <w:bodyDiv w:val="1"/>
      <w:marLeft w:val="0"/>
      <w:marRight w:val="0"/>
      <w:marTop w:val="0"/>
      <w:marBottom w:val="0"/>
      <w:divBdr>
        <w:top w:val="none" w:sz="0" w:space="0" w:color="auto"/>
        <w:left w:val="none" w:sz="0" w:space="0" w:color="auto"/>
        <w:bottom w:val="none" w:sz="0" w:space="0" w:color="auto"/>
        <w:right w:val="none" w:sz="0" w:space="0" w:color="auto"/>
      </w:divBdr>
    </w:div>
    <w:div w:id="1442992112">
      <w:bodyDiv w:val="1"/>
      <w:marLeft w:val="0"/>
      <w:marRight w:val="0"/>
      <w:marTop w:val="0"/>
      <w:marBottom w:val="0"/>
      <w:divBdr>
        <w:top w:val="none" w:sz="0" w:space="0" w:color="auto"/>
        <w:left w:val="none" w:sz="0" w:space="0" w:color="auto"/>
        <w:bottom w:val="none" w:sz="0" w:space="0" w:color="auto"/>
        <w:right w:val="none" w:sz="0" w:space="0" w:color="auto"/>
      </w:divBdr>
      <w:divsChild>
        <w:div w:id="1684240668">
          <w:marLeft w:val="0"/>
          <w:marRight w:val="0"/>
          <w:marTop w:val="0"/>
          <w:marBottom w:val="0"/>
          <w:divBdr>
            <w:top w:val="none" w:sz="0" w:space="0" w:color="auto"/>
            <w:left w:val="none" w:sz="0" w:space="0" w:color="auto"/>
            <w:bottom w:val="none" w:sz="0" w:space="0" w:color="auto"/>
            <w:right w:val="none" w:sz="0" w:space="0" w:color="auto"/>
          </w:divBdr>
          <w:divsChild>
            <w:div w:id="1282229132">
              <w:marLeft w:val="0"/>
              <w:marRight w:val="0"/>
              <w:marTop w:val="0"/>
              <w:marBottom w:val="0"/>
              <w:divBdr>
                <w:top w:val="none" w:sz="0" w:space="0" w:color="auto"/>
                <w:left w:val="none" w:sz="0" w:space="0" w:color="auto"/>
                <w:bottom w:val="none" w:sz="0" w:space="0" w:color="auto"/>
                <w:right w:val="none" w:sz="0" w:space="0" w:color="auto"/>
              </w:divBdr>
              <w:divsChild>
                <w:div w:id="1460566263">
                  <w:marLeft w:val="0"/>
                  <w:marRight w:val="0"/>
                  <w:marTop w:val="0"/>
                  <w:marBottom w:val="0"/>
                  <w:divBdr>
                    <w:top w:val="none" w:sz="0" w:space="0" w:color="auto"/>
                    <w:left w:val="none" w:sz="0" w:space="0" w:color="auto"/>
                    <w:bottom w:val="none" w:sz="0" w:space="0" w:color="auto"/>
                    <w:right w:val="none" w:sz="0" w:space="0" w:color="auto"/>
                  </w:divBdr>
                  <w:divsChild>
                    <w:div w:id="9112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85446">
      <w:bodyDiv w:val="1"/>
      <w:marLeft w:val="0"/>
      <w:marRight w:val="0"/>
      <w:marTop w:val="0"/>
      <w:marBottom w:val="0"/>
      <w:divBdr>
        <w:top w:val="none" w:sz="0" w:space="0" w:color="auto"/>
        <w:left w:val="none" w:sz="0" w:space="0" w:color="auto"/>
        <w:bottom w:val="none" w:sz="0" w:space="0" w:color="auto"/>
        <w:right w:val="none" w:sz="0" w:space="0" w:color="auto"/>
      </w:divBdr>
    </w:div>
    <w:div w:id="1452241596">
      <w:bodyDiv w:val="1"/>
      <w:marLeft w:val="0"/>
      <w:marRight w:val="0"/>
      <w:marTop w:val="0"/>
      <w:marBottom w:val="0"/>
      <w:divBdr>
        <w:top w:val="none" w:sz="0" w:space="0" w:color="auto"/>
        <w:left w:val="none" w:sz="0" w:space="0" w:color="auto"/>
        <w:bottom w:val="none" w:sz="0" w:space="0" w:color="auto"/>
        <w:right w:val="none" w:sz="0" w:space="0" w:color="auto"/>
      </w:divBdr>
    </w:div>
    <w:div w:id="1469739837">
      <w:bodyDiv w:val="1"/>
      <w:marLeft w:val="0"/>
      <w:marRight w:val="0"/>
      <w:marTop w:val="0"/>
      <w:marBottom w:val="0"/>
      <w:divBdr>
        <w:top w:val="none" w:sz="0" w:space="0" w:color="auto"/>
        <w:left w:val="none" w:sz="0" w:space="0" w:color="auto"/>
        <w:bottom w:val="none" w:sz="0" w:space="0" w:color="auto"/>
        <w:right w:val="none" w:sz="0" w:space="0" w:color="auto"/>
      </w:divBdr>
    </w:div>
    <w:div w:id="1501382923">
      <w:bodyDiv w:val="1"/>
      <w:marLeft w:val="0"/>
      <w:marRight w:val="0"/>
      <w:marTop w:val="0"/>
      <w:marBottom w:val="0"/>
      <w:divBdr>
        <w:top w:val="none" w:sz="0" w:space="0" w:color="auto"/>
        <w:left w:val="none" w:sz="0" w:space="0" w:color="auto"/>
        <w:bottom w:val="none" w:sz="0" w:space="0" w:color="auto"/>
        <w:right w:val="none" w:sz="0" w:space="0" w:color="auto"/>
      </w:divBdr>
    </w:div>
    <w:div w:id="1511136365">
      <w:bodyDiv w:val="1"/>
      <w:marLeft w:val="0"/>
      <w:marRight w:val="0"/>
      <w:marTop w:val="0"/>
      <w:marBottom w:val="0"/>
      <w:divBdr>
        <w:top w:val="none" w:sz="0" w:space="0" w:color="auto"/>
        <w:left w:val="none" w:sz="0" w:space="0" w:color="auto"/>
        <w:bottom w:val="none" w:sz="0" w:space="0" w:color="auto"/>
        <w:right w:val="none" w:sz="0" w:space="0" w:color="auto"/>
      </w:divBdr>
    </w:div>
    <w:div w:id="1534537878">
      <w:bodyDiv w:val="1"/>
      <w:marLeft w:val="0"/>
      <w:marRight w:val="0"/>
      <w:marTop w:val="0"/>
      <w:marBottom w:val="0"/>
      <w:divBdr>
        <w:top w:val="none" w:sz="0" w:space="0" w:color="auto"/>
        <w:left w:val="none" w:sz="0" w:space="0" w:color="auto"/>
        <w:bottom w:val="none" w:sz="0" w:space="0" w:color="auto"/>
        <w:right w:val="none" w:sz="0" w:space="0" w:color="auto"/>
      </w:divBdr>
    </w:div>
    <w:div w:id="1565025704">
      <w:bodyDiv w:val="1"/>
      <w:marLeft w:val="0"/>
      <w:marRight w:val="0"/>
      <w:marTop w:val="0"/>
      <w:marBottom w:val="0"/>
      <w:divBdr>
        <w:top w:val="none" w:sz="0" w:space="0" w:color="auto"/>
        <w:left w:val="none" w:sz="0" w:space="0" w:color="auto"/>
        <w:bottom w:val="none" w:sz="0" w:space="0" w:color="auto"/>
        <w:right w:val="none" w:sz="0" w:space="0" w:color="auto"/>
      </w:divBdr>
    </w:div>
    <w:div w:id="1568804466">
      <w:bodyDiv w:val="1"/>
      <w:marLeft w:val="0"/>
      <w:marRight w:val="0"/>
      <w:marTop w:val="0"/>
      <w:marBottom w:val="0"/>
      <w:divBdr>
        <w:top w:val="none" w:sz="0" w:space="0" w:color="auto"/>
        <w:left w:val="none" w:sz="0" w:space="0" w:color="auto"/>
        <w:bottom w:val="none" w:sz="0" w:space="0" w:color="auto"/>
        <w:right w:val="none" w:sz="0" w:space="0" w:color="auto"/>
      </w:divBdr>
    </w:div>
    <w:div w:id="1590695796">
      <w:bodyDiv w:val="1"/>
      <w:marLeft w:val="0"/>
      <w:marRight w:val="0"/>
      <w:marTop w:val="0"/>
      <w:marBottom w:val="0"/>
      <w:divBdr>
        <w:top w:val="none" w:sz="0" w:space="0" w:color="auto"/>
        <w:left w:val="none" w:sz="0" w:space="0" w:color="auto"/>
        <w:bottom w:val="none" w:sz="0" w:space="0" w:color="auto"/>
        <w:right w:val="none" w:sz="0" w:space="0" w:color="auto"/>
      </w:divBdr>
    </w:div>
    <w:div w:id="1595550476">
      <w:bodyDiv w:val="1"/>
      <w:marLeft w:val="0"/>
      <w:marRight w:val="0"/>
      <w:marTop w:val="0"/>
      <w:marBottom w:val="0"/>
      <w:divBdr>
        <w:top w:val="none" w:sz="0" w:space="0" w:color="auto"/>
        <w:left w:val="none" w:sz="0" w:space="0" w:color="auto"/>
        <w:bottom w:val="none" w:sz="0" w:space="0" w:color="auto"/>
        <w:right w:val="none" w:sz="0" w:space="0" w:color="auto"/>
      </w:divBdr>
    </w:div>
    <w:div w:id="1630356393">
      <w:bodyDiv w:val="1"/>
      <w:marLeft w:val="0"/>
      <w:marRight w:val="0"/>
      <w:marTop w:val="0"/>
      <w:marBottom w:val="0"/>
      <w:divBdr>
        <w:top w:val="none" w:sz="0" w:space="0" w:color="auto"/>
        <w:left w:val="none" w:sz="0" w:space="0" w:color="auto"/>
        <w:bottom w:val="none" w:sz="0" w:space="0" w:color="auto"/>
        <w:right w:val="none" w:sz="0" w:space="0" w:color="auto"/>
      </w:divBdr>
    </w:div>
    <w:div w:id="1641689074">
      <w:bodyDiv w:val="1"/>
      <w:marLeft w:val="0"/>
      <w:marRight w:val="0"/>
      <w:marTop w:val="0"/>
      <w:marBottom w:val="0"/>
      <w:divBdr>
        <w:top w:val="none" w:sz="0" w:space="0" w:color="auto"/>
        <w:left w:val="none" w:sz="0" w:space="0" w:color="auto"/>
        <w:bottom w:val="none" w:sz="0" w:space="0" w:color="auto"/>
        <w:right w:val="none" w:sz="0" w:space="0" w:color="auto"/>
      </w:divBdr>
    </w:div>
    <w:div w:id="1642805022">
      <w:bodyDiv w:val="1"/>
      <w:marLeft w:val="0"/>
      <w:marRight w:val="0"/>
      <w:marTop w:val="0"/>
      <w:marBottom w:val="0"/>
      <w:divBdr>
        <w:top w:val="none" w:sz="0" w:space="0" w:color="auto"/>
        <w:left w:val="none" w:sz="0" w:space="0" w:color="auto"/>
        <w:bottom w:val="none" w:sz="0" w:space="0" w:color="auto"/>
        <w:right w:val="none" w:sz="0" w:space="0" w:color="auto"/>
      </w:divBdr>
    </w:div>
    <w:div w:id="1647776552">
      <w:bodyDiv w:val="1"/>
      <w:marLeft w:val="0"/>
      <w:marRight w:val="0"/>
      <w:marTop w:val="0"/>
      <w:marBottom w:val="0"/>
      <w:divBdr>
        <w:top w:val="none" w:sz="0" w:space="0" w:color="auto"/>
        <w:left w:val="none" w:sz="0" w:space="0" w:color="auto"/>
        <w:bottom w:val="none" w:sz="0" w:space="0" w:color="auto"/>
        <w:right w:val="none" w:sz="0" w:space="0" w:color="auto"/>
      </w:divBdr>
    </w:div>
    <w:div w:id="1656032679">
      <w:bodyDiv w:val="1"/>
      <w:marLeft w:val="0"/>
      <w:marRight w:val="0"/>
      <w:marTop w:val="0"/>
      <w:marBottom w:val="0"/>
      <w:divBdr>
        <w:top w:val="none" w:sz="0" w:space="0" w:color="auto"/>
        <w:left w:val="none" w:sz="0" w:space="0" w:color="auto"/>
        <w:bottom w:val="none" w:sz="0" w:space="0" w:color="auto"/>
        <w:right w:val="none" w:sz="0" w:space="0" w:color="auto"/>
      </w:divBdr>
    </w:div>
    <w:div w:id="1675107405">
      <w:bodyDiv w:val="1"/>
      <w:marLeft w:val="0"/>
      <w:marRight w:val="0"/>
      <w:marTop w:val="0"/>
      <w:marBottom w:val="0"/>
      <w:divBdr>
        <w:top w:val="none" w:sz="0" w:space="0" w:color="auto"/>
        <w:left w:val="none" w:sz="0" w:space="0" w:color="auto"/>
        <w:bottom w:val="none" w:sz="0" w:space="0" w:color="auto"/>
        <w:right w:val="none" w:sz="0" w:space="0" w:color="auto"/>
      </w:divBdr>
    </w:div>
    <w:div w:id="1686788836">
      <w:bodyDiv w:val="1"/>
      <w:marLeft w:val="0"/>
      <w:marRight w:val="0"/>
      <w:marTop w:val="0"/>
      <w:marBottom w:val="0"/>
      <w:divBdr>
        <w:top w:val="none" w:sz="0" w:space="0" w:color="auto"/>
        <w:left w:val="none" w:sz="0" w:space="0" w:color="auto"/>
        <w:bottom w:val="none" w:sz="0" w:space="0" w:color="auto"/>
        <w:right w:val="none" w:sz="0" w:space="0" w:color="auto"/>
      </w:divBdr>
    </w:div>
    <w:div w:id="1715038599">
      <w:bodyDiv w:val="1"/>
      <w:marLeft w:val="0"/>
      <w:marRight w:val="0"/>
      <w:marTop w:val="0"/>
      <w:marBottom w:val="0"/>
      <w:divBdr>
        <w:top w:val="none" w:sz="0" w:space="0" w:color="auto"/>
        <w:left w:val="none" w:sz="0" w:space="0" w:color="auto"/>
        <w:bottom w:val="none" w:sz="0" w:space="0" w:color="auto"/>
        <w:right w:val="none" w:sz="0" w:space="0" w:color="auto"/>
      </w:divBdr>
    </w:div>
    <w:div w:id="1725715611">
      <w:bodyDiv w:val="1"/>
      <w:marLeft w:val="0"/>
      <w:marRight w:val="0"/>
      <w:marTop w:val="0"/>
      <w:marBottom w:val="0"/>
      <w:divBdr>
        <w:top w:val="none" w:sz="0" w:space="0" w:color="auto"/>
        <w:left w:val="none" w:sz="0" w:space="0" w:color="auto"/>
        <w:bottom w:val="none" w:sz="0" w:space="0" w:color="auto"/>
        <w:right w:val="none" w:sz="0" w:space="0" w:color="auto"/>
      </w:divBdr>
    </w:div>
    <w:div w:id="1747452610">
      <w:bodyDiv w:val="1"/>
      <w:marLeft w:val="0"/>
      <w:marRight w:val="0"/>
      <w:marTop w:val="0"/>
      <w:marBottom w:val="0"/>
      <w:divBdr>
        <w:top w:val="none" w:sz="0" w:space="0" w:color="auto"/>
        <w:left w:val="none" w:sz="0" w:space="0" w:color="auto"/>
        <w:bottom w:val="none" w:sz="0" w:space="0" w:color="auto"/>
        <w:right w:val="none" w:sz="0" w:space="0" w:color="auto"/>
      </w:divBdr>
    </w:div>
    <w:div w:id="1766418739">
      <w:bodyDiv w:val="1"/>
      <w:marLeft w:val="0"/>
      <w:marRight w:val="0"/>
      <w:marTop w:val="0"/>
      <w:marBottom w:val="0"/>
      <w:divBdr>
        <w:top w:val="none" w:sz="0" w:space="0" w:color="auto"/>
        <w:left w:val="none" w:sz="0" w:space="0" w:color="auto"/>
        <w:bottom w:val="none" w:sz="0" w:space="0" w:color="auto"/>
        <w:right w:val="none" w:sz="0" w:space="0" w:color="auto"/>
      </w:divBdr>
    </w:div>
    <w:div w:id="1794325256">
      <w:bodyDiv w:val="1"/>
      <w:marLeft w:val="0"/>
      <w:marRight w:val="0"/>
      <w:marTop w:val="0"/>
      <w:marBottom w:val="0"/>
      <w:divBdr>
        <w:top w:val="none" w:sz="0" w:space="0" w:color="auto"/>
        <w:left w:val="none" w:sz="0" w:space="0" w:color="auto"/>
        <w:bottom w:val="none" w:sz="0" w:space="0" w:color="auto"/>
        <w:right w:val="none" w:sz="0" w:space="0" w:color="auto"/>
      </w:divBdr>
      <w:divsChild>
        <w:div w:id="269317641">
          <w:marLeft w:val="0"/>
          <w:marRight w:val="0"/>
          <w:marTop w:val="0"/>
          <w:marBottom w:val="0"/>
          <w:divBdr>
            <w:top w:val="none" w:sz="0" w:space="0" w:color="auto"/>
            <w:left w:val="none" w:sz="0" w:space="0" w:color="auto"/>
            <w:bottom w:val="none" w:sz="0" w:space="0" w:color="auto"/>
            <w:right w:val="none" w:sz="0" w:space="0" w:color="auto"/>
          </w:divBdr>
          <w:divsChild>
            <w:div w:id="1272978791">
              <w:marLeft w:val="0"/>
              <w:marRight w:val="0"/>
              <w:marTop w:val="0"/>
              <w:marBottom w:val="0"/>
              <w:divBdr>
                <w:top w:val="none" w:sz="0" w:space="0" w:color="auto"/>
                <w:left w:val="none" w:sz="0" w:space="0" w:color="auto"/>
                <w:bottom w:val="none" w:sz="0" w:space="0" w:color="auto"/>
                <w:right w:val="none" w:sz="0" w:space="0" w:color="auto"/>
              </w:divBdr>
              <w:divsChild>
                <w:div w:id="23678910">
                  <w:marLeft w:val="0"/>
                  <w:marRight w:val="0"/>
                  <w:marTop w:val="0"/>
                  <w:marBottom w:val="0"/>
                  <w:divBdr>
                    <w:top w:val="none" w:sz="0" w:space="0" w:color="auto"/>
                    <w:left w:val="none" w:sz="0" w:space="0" w:color="auto"/>
                    <w:bottom w:val="none" w:sz="0" w:space="0" w:color="auto"/>
                    <w:right w:val="none" w:sz="0" w:space="0" w:color="auto"/>
                  </w:divBdr>
                  <w:divsChild>
                    <w:div w:id="13830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245153">
      <w:bodyDiv w:val="1"/>
      <w:marLeft w:val="0"/>
      <w:marRight w:val="0"/>
      <w:marTop w:val="0"/>
      <w:marBottom w:val="0"/>
      <w:divBdr>
        <w:top w:val="none" w:sz="0" w:space="0" w:color="auto"/>
        <w:left w:val="none" w:sz="0" w:space="0" w:color="auto"/>
        <w:bottom w:val="none" w:sz="0" w:space="0" w:color="auto"/>
        <w:right w:val="none" w:sz="0" w:space="0" w:color="auto"/>
      </w:divBdr>
    </w:div>
    <w:div w:id="1886598302">
      <w:bodyDiv w:val="1"/>
      <w:marLeft w:val="0"/>
      <w:marRight w:val="0"/>
      <w:marTop w:val="0"/>
      <w:marBottom w:val="0"/>
      <w:divBdr>
        <w:top w:val="none" w:sz="0" w:space="0" w:color="auto"/>
        <w:left w:val="none" w:sz="0" w:space="0" w:color="auto"/>
        <w:bottom w:val="none" w:sz="0" w:space="0" w:color="auto"/>
        <w:right w:val="none" w:sz="0" w:space="0" w:color="auto"/>
      </w:divBdr>
    </w:div>
    <w:div w:id="1888951845">
      <w:bodyDiv w:val="1"/>
      <w:marLeft w:val="0"/>
      <w:marRight w:val="0"/>
      <w:marTop w:val="0"/>
      <w:marBottom w:val="0"/>
      <w:divBdr>
        <w:top w:val="none" w:sz="0" w:space="0" w:color="auto"/>
        <w:left w:val="none" w:sz="0" w:space="0" w:color="auto"/>
        <w:bottom w:val="none" w:sz="0" w:space="0" w:color="auto"/>
        <w:right w:val="none" w:sz="0" w:space="0" w:color="auto"/>
      </w:divBdr>
    </w:div>
    <w:div w:id="1891845230">
      <w:bodyDiv w:val="1"/>
      <w:marLeft w:val="0"/>
      <w:marRight w:val="0"/>
      <w:marTop w:val="0"/>
      <w:marBottom w:val="0"/>
      <w:divBdr>
        <w:top w:val="none" w:sz="0" w:space="0" w:color="auto"/>
        <w:left w:val="none" w:sz="0" w:space="0" w:color="auto"/>
        <w:bottom w:val="none" w:sz="0" w:space="0" w:color="auto"/>
        <w:right w:val="none" w:sz="0" w:space="0" w:color="auto"/>
      </w:divBdr>
    </w:div>
    <w:div w:id="1893493705">
      <w:bodyDiv w:val="1"/>
      <w:marLeft w:val="0"/>
      <w:marRight w:val="0"/>
      <w:marTop w:val="0"/>
      <w:marBottom w:val="0"/>
      <w:divBdr>
        <w:top w:val="none" w:sz="0" w:space="0" w:color="auto"/>
        <w:left w:val="none" w:sz="0" w:space="0" w:color="auto"/>
        <w:bottom w:val="none" w:sz="0" w:space="0" w:color="auto"/>
        <w:right w:val="none" w:sz="0" w:space="0" w:color="auto"/>
      </w:divBdr>
      <w:divsChild>
        <w:div w:id="1377197916">
          <w:marLeft w:val="0"/>
          <w:marRight w:val="0"/>
          <w:marTop w:val="0"/>
          <w:marBottom w:val="0"/>
          <w:divBdr>
            <w:top w:val="none" w:sz="0" w:space="0" w:color="auto"/>
            <w:left w:val="none" w:sz="0" w:space="0" w:color="auto"/>
            <w:bottom w:val="none" w:sz="0" w:space="0" w:color="auto"/>
            <w:right w:val="none" w:sz="0" w:space="0" w:color="auto"/>
          </w:divBdr>
          <w:divsChild>
            <w:div w:id="1501655791">
              <w:marLeft w:val="0"/>
              <w:marRight w:val="0"/>
              <w:marTop w:val="0"/>
              <w:marBottom w:val="0"/>
              <w:divBdr>
                <w:top w:val="none" w:sz="0" w:space="0" w:color="auto"/>
                <w:left w:val="none" w:sz="0" w:space="0" w:color="auto"/>
                <w:bottom w:val="none" w:sz="0" w:space="0" w:color="auto"/>
                <w:right w:val="none" w:sz="0" w:space="0" w:color="auto"/>
              </w:divBdr>
              <w:divsChild>
                <w:div w:id="380180537">
                  <w:marLeft w:val="0"/>
                  <w:marRight w:val="0"/>
                  <w:marTop w:val="0"/>
                  <w:marBottom w:val="0"/>
                  <w:divBdr>
                    <w:top w:val="none" w:sz="0" w:space="0" w:color="auto"/>
                    <w:left w:val="none" w:sz="0" w:space="0" w:color="auto"/>
                    <w:bottom w:val="none" w:sz="0" w:space="0" w:color="auto"/>
                    <w:right w:val="none" w:sz="0" w:space="0" w:color="auto"/>
                  </w:divBdr>
                  <w:divsChild>
                    <w:div w:id="2701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18573">
      <w:bodyDiv w:val="1"/>
      <w:marLeft w:val="0"/>
      <w:marRight w:val="0"/>
      <w:marTop w:val="0"/>
      <w:marBottom w:val="0"/>
      <w:divBdr>
        <w:top w:val="none" w:sz="0" w:space="0" w:color="auto"/>
        <w:left w:val="none" w:sz="0" w:space="0" w:color="auto"/>
        <w:bottom w:val="none" w:sz="0" w:space="0" w:color="auto"/>
        <w:right w:val="none" w:sz="0" w:space="0" w:color="auto"/>
      </w:divBdr>
    </w:div>
    <w:div w:id="1930653354">
      <w:bodyDiv w:val="1"/>
      <w:marLeft w:val="0"/>
      <w:marRight w:val="0"/>
      <w:marTop w:val="0"/>
      <w:marBottom w:val="0"/>
      <w:divBdr>
        <w:top w:val="none" w:sz="0" w:space="0" w:color="auto"/>
        <w:left w:val="none" w:sz="0" w:space="0" w:color="auto"/>
        <w:bottom w:val="none" w:sz="0" w:space="0" w:color="auto"/>
        <w:right w:val="none" w:sz="0" w:space="0" w:color="auto"/>
      </w:divBdr>
    </w:div>
    <w:div w:id="1977448605">
      <w:bodyDiv w:val="1"/>
      <w:marLeft w:val="0"/>
      <w:marRight w:val="0"/>
      <w:marTop w:val="0"/>
      <w:marBottom w:val="0"/>
      <w:divBdr>
        <w:top w:val="none" w:sz="0" w:space="0" w:color="auto"/>
        <w:left w:val="none" w:sz="0" w:space="0" w:color="auto"/>
        <w:bottom w:val="none" w:sz="0" w:space="0" w:color="auto"/>
        <w:right w:val="none" w:sz="0" w:space="0" w:color="auto"/>
      </w:divBdr>
    </w:div>
    <w:div w:id="1992098775">
      <w:bodyDiv w:val="1"/>
      <w:marLeft w:val="0"/>
      <w:marRight w:val="0"/>
      <w:marTop w:val="0"/>
      <w:marBottom w:val="0"/>
      <w:divBdr>
        <w:top w:val="none" w:sz="0" w:space="0" w:color="auto"/>
        <w:left w:val="none" w:sz="0" w:space="0" w:color="auto"/>
        <w:bottom w:val="none" w:sz="0" w:space="0" w:color="auto"/>
        <w:right w:val="none" w:sz="0" w:space="0" w:color="auto"/>
      </w:divBdr>
    </w:div>
    <w:div w:id="2031711600">
      <w:bodyDiv w:val="1"/>
      <w:marLeft w:val="0"/>
      <w:marRight w:val="0"/>
      <w:marTop w:val="0"/>
      <w:marBottom w:val="0"/>
      <w:divBdr>
        <w:top w:val="none" w:sz="0" w:space="0" w:color="auto"/>
        <w:left w:val="none" w:sz="0" w:space="0" w:color="auto"/>
        <w:bottom w:val="none" w:sz="0" w:space="0" w:color="auto"/>
        <w:right w:val="none" w:sz="0" w:space="0" w:color="auto"/>
      </w:divBdr>
    </w:div>
    <w:div w:id="2034258240">
      <w:bodyDiv w:val="1"/>
      <w:marLeft w:val="0"/>
      <w:marRight w:val="0"/>
      <w:marTop w:val="0"/>
      <w:marBottom w:val="0"/>
      <w:divBdr>
        <w:top w:val="none" w:sz="0" w:space="0" w:color="auto"/>
        <w:left w:val="none" w:sz="0" w:space="0" w:color="auto"/>
        <w:bottom w:val="none" w:sz="0" w:space="0" w:color="auto"/>
        <w:right w:val="none" w:sz="0" w:space="0" w:color="auto"/>
      </w:divBdr>
    </w:div>
    <w:div w:id="2040008403">
      <w:bodyDiv w:val="1"/>
      <w:marLeft w:val="0"/>
      <w:marRight w:val="0"/>
      <w:marTop w:val="0"/>
      <w:marBottom w:val="0"/>
      <w:divBdr>
        <w:top w:val="none" w:sz="0" w:space="0" w:color="auto"/>
        <w:left w:val="none" w:sz="0" w:space="0" w:color="auto"/>
        <w:bottom w:val="none" w:sz="0" w:space="0" w:color="auto"/>
        <w:right w:val="none" w:sz="0" w:space="0" w:color="auto"/>
      </w:divBdr>
    </w:div>
    <w:div w:id="2052728488">
      <w:bodyDiv w:val="1"/>
      <w:marLeft w:val="0"/>
      <w:marRight w:val="0"/>
      <w:marTop w:val="0"/>
      <w:marBottom w:val="0"/>
      <w:divBdr>
        <w:top w:val="none" w:sz="0" w:space="0" w:color="auto"/>
        <w:left w:val="none" w:sz="0" w:space="0" w:color="auto"/>
        <w:bottom w:val="none" w:sz="0" w:space="0" w:color="auto"/>
        <w:right w:val="none" w:sz="0" w:space="0" w:color="auto"/>
      </w:divBdr>
    </w:div>
    <w:div w:id="2057851495">
      <w:bodyDiv w:val="1"/>
      <w:marLeft w:val="0"/>
      <w:marRight w:val="0"/>
      <w:marTop w:val="0"/>
      <w:marBottom w:val="0"/>
      <w:divBdr>
        <w:top w:val="none" w:sz="0" w:space="0" w:color="auto"/>
        <w:left w:val="none" w:sz="0" w:space="0" w:color="auto"/>
        <w:bottom w:val="none" w:sz="0" w:space="0" w:color="auto"/>
        <w:right w:val="none" w:sz="0" w:space="0" w:color="auto"/>
      </w:divBdr>
    </w:div>
    <w:div w:id="2086605363">
      <w:bodyDiv w:val="1"/>
      <w:marLeft w:val="0"/>
      <w:marRight w:val="0"/>
      <w:marTop w:val="0"/>
      <w:marBottom w:val="0"/>
      <w:divBdr>
        <w:top w:val="none" w:sz="0" w:space="0" w:color="auto"/>
        <w:left w:val="none" w:sz="0" w:space="0" w:color="auto"/>
        <w:bottom w:val="none" w:sz="0" w:space="0" w:color="auto"/>
        <w:right w:val="none" w:sz="0" w:space="0" w:color="auto"/>
      </w:divBdr>
    </w:div>
    <w:div w:id="2087527314">
      <w:bodyDiv w:val="1"/>
      <w:marLeft w:val="0"/>
      <w:marRight w:val="0"/>
      <w:marTop w:val="0"/>
      <w:marBottom w:val="0"/>
      <w:divBdr>
        <w:top w:val="none" w:sz="0" w:space="0" w:color="auto"/>
        <w:left w:val="none" w:sz="0" w:space="0" w:color="auto"/>
        <w:bottom w:val="none" w:sz="0" w:space="0" w:color="auto"/>
        <w:right w:val="none" w:sz="0" w:space="0" w:color="auto"/>
      </w:divBdr>
    </w:div>
    <w:div w:id="2116168767">
      <w:bodyDiv w:val="1"/>
      <w:marLeft w:val="0"/>
      <w:marRight w:val="0"/>
      <w:marTop w:val="0"/>
      <w:marBottom w:val="0"/>
      <w:divBdr>
        <w:top w:val="none" w:sz="0" w:space="0" w:color="auto"/>
        <w:left w:val="none" w:sz="0" w:space="0" w:color="auto"/>
        <w:bottom w:val="none" w:sz="0" w:space="0" w:color="auto"/>
        <w:right w:val="none" w:sz="0" w:space="0" w:color="auto"/>
      </w:divBdr>
    </w:div>
    <w:div w:id="2125730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EDAR.com" TargetMode="External"/><Relationship Id="rId2" Type="http://schemas.openxmlformats.org/officeDocument/2006/relationships/customXml" Target="../customXml/item2.xml"/><Relationship Id="rId16" Type="http://schemas.openxmlformats.org/officeDocument/2006/relationships/hyperlink" Target="http://www.SEDAR.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mpowerClinics.com"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AC8652B316C45B16AC02736527A1E" ma:contentTypeVersion="0" ma:contentTypeDescription="Create a new document." ma:contentTypeScope="" ma:versionID="fa99777bc930b3accff4ea8e187aaa1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BA9B37-2B0C-4661-B607-EE066F27B825}">
  <ds:schemaRefs>
    <ds:schemaRef ds:uri="http://schemas.microsoft.com/sharepoint/v3/contenttype/forms"/>
  </ds:schemaRefs>
</ds:datastoreItem>
</file>

<file path=customXml/itemProps2.xml><?xml version="1.0" encoding="utf-8"?>
<ds:datastoreItem xmlns:ds="http://schemas.openxmlformats.org/officeDocument/2006/customXml" ds:itemID="{7D1401DE-EC30-435D-B384-E1B7B2520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8120B5F-5922-4284-AFC4-56BF5AF8EADF}">
  <ds:schemaRefs>
    <ds:schemaRef ds:uri="http://schemas.openxmlformats.org/officeDocument/2006/bibliography"/>
  </ds:schemaRefs>
</ds:datastoreItem>
</file>

<file path=customXml/itemProps4.xml><?xml version="1.0" encoding="utf-8"?>
<ds:datastoreItem xmlns:ds="http://schemas.openxmlformats.org/officeDocument/2006/customXml" ds:itemID="{171D653C-848F-4B67-8E90-16FF8F48E555}">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6282</Words>
  <Characters>35809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Invictus Accounting Group LLP</dc:creator>
  <cp:keywords/>
  <dc:description/>
  <cp:lastModifiedBy>Mitchell Jackman</cp:lastModifiedBy>
  <cp:revision>3</cp:revision>
  <cp:lastPrinted>2022-11-01T02:33:00Z</cp:lastPrinted>
  <dcterms:created xsi:type="dcterms:W3CDTF">2022-11-01T20:11:00Z</dcterms:created>
  <dcterms:modified xsi:type="dcterms:W3CDTF">2022-11-01T21:30:00Z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0x0101008D4AC8652B316C45B16AC02736527A1E</vt:lpwstr>
  </property>
  <property fmtid="{D5CDD505-2E9C-101B-9397-08002B2CF9AE}" pid="3" name="GrammarlyDocumentId">
    <vt:lpwstr>42e0004512abfdadeb114dc56b86bf14be8b80517607e32b215357fe429a9e03</vt:lpwstr>
  </property>
</Properties>
</file>